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ATAS/599/2023 vom 14. August 2023</w:t>
      </w:r>
    </w:p>
    <w:p>
      <w:r>
        <w:t>GE Cour de justice, 2023-08-14, FR</w:t>
      </w:r>
    </w:p>
    <w:p>
      <w:r>
        <w:rPr>
          <w:b/>
        </w:rPr>
        <w:t xml:space="preserve">Quelle: </w:t>
      </w:r>
      <w:r>
        <w:t>https://mcp.opencaselaw.ch/entscheid/ge_gerichte_ATAS_599_2023</w:t>
      </w:r>
    </w:p>
    <w:p>
      <w:r>
        <w:t>FR: GE_GERICHTE ATAS/599/2023 du 14 août 2023</w:t>
      </w:r>
    </w:p>
    <w:p>
      <w:r>
        <w:t>IT: GE_GERICHTE ATAS/599/2023 del 14 agosto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1.3</w:t>
      </w:r>
    </w:p>
    <w:p>
      <w:r>
        <w:t>Le délai de recours est de trente jours (art. 56 LPGA ; art. 62 al. 1 de la de loi sur la procédure administrative du 12 septembre 1985 [LPA - E 5 10]). Interjeté dans la forme et le délai prévus par la loi, le recours est recevable (art. 56 ss LPGA et 62 ss LPA).</w:t>
      </w:r>
    </w:p>
    <w:p>
      <w:r>
        <w:rPr>
          <w:b/>
        </w:rPr>
        <w:t>E. 2</w:t>
      </w:r>
    </w:p>
    <w:p>
      <w:r>
        <w:t>Le litige porte sur le droit de la recourante a une rente d’invalidité, singulièrement sur la question de l’évaluation de sa capacité de travail.</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3.2</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A/3897/2018 - 12/19 -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4.1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 arrêt du Tribunal fédéral 9C_73/2013 du 2 septembre 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w:t>
      </w:r>
    </w:p>
    <w:p>
      <w:r>
        <w:t>A/3897/2018 - 13/19 - 409 consid. 4.5.1). En effet, celles-ci ne peuvent en principe être déterminées ou prouvées sur la base de critères objectifs que de manière limitée.</w:t>
      </w:r>
    </w:p>
    <w:p>
      <w:r>
        <w:rPr>
          <w:b/>
        </w:rPr>
        <w:t>E. 4.2</w:t>
      </w:r>
    </w:p>
    <w:p>
      <w:r>
        <w:t>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w:t>
      </w:r>
    </w:p>
    <w:p>
      <w:r>
        <w:rPr>
          <w:b/>
        </w:rPr>
        <w:t>E. 4.3</w:t>
      </w:r>
    </w:p>
    <w:p>
      <w:r>
        <w:t>; arrêt du Tribunal fédéral 9C_618/2019 du 16 mars 2020 consid. 8.2).</w:t>
      </w:r>
    </w:p>
    <w:p>
      <w:r>
        <w:rPr>
          <w:b/>
        </w:rPr>
        <w:t>E. 5.1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w:t>
      </w:r>
    </w:p>
    <w:p>
      <w:r>
        <w:t>A/3897/2018 - 14/19 - V 133 consid. 2 ; ATF 114 V 310 consid. 3c ; arrêt du Tribunal fédéral 8C_442/2013 du 4 juillet 2014 consid. 2).</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5.3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5.4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w:t>
      </w:r>
    </w:p>
    <w:p>
      <w:r>
        <w:t>A/3897/2018 - 15/19 -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w:t>
      </w:r>
    </w:p>
    <w:p>
      <w:r>
        <w:rPr>
          <w:b/>
        </w:rPr>
        <w:t>E. 5.5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5.6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w:t>
      </w:r>
    </w:p>
    <w:p>
      <w:r>
        <w:t>A/3897/2018 - 16/19 -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8</w:t>
      </w:r>
    </w:p>
    <w:p>
      <w:r>
        <w:t>En l'occurrence, à la suite de l'arrêt de renvoi de la chambre de céans, l'intimé a mis en œuvre une expertise pluridisciplinaire auprès du G______ (psychiatrie - médecine physique et réadaptation et médecine interne).</w:t>
      </w:r>
    </w:p>
    <w:p>
      <w:r>
        <w:rPr>
          <w:b/>
        </w:rPr>
        <w:t>E. 8.1</w:t>
      </w:r>
    </w:p>
    <w:p>
      <w:r>
        <w:t>Le rapport du G______ du 21 avril 2021, fondé sur toutes les pièces du dossier, comprenant une anamnèse, la description des plaintes de la recourante, un status complet, des diagnostics clairs et bien motivés, ainsi que l'analyse des</w:t>
      </w:r>
    </w:p>
    <w:p>
      <w:r>
        <w:t>A/3897/2018 - 17/19 - indicateurs pertinents, répond aux critères jurisprudentiels précités pour qu'il lui soit reconnu une pleine valeur probante.</w:t>
      </w:r>
    </w:p>
    <w:p>
      <w:r>
        <w:rPr>
          <w:b/>
        </w:rPr>
        <w:t>E. 8.2</w:t>
      </w:r>
    </w:p>
    <w:p>
      <w:r>
        <w:t>La recourante conteste la valeur probante de l'expertise du G______. Elle relève l'absence de diagnostic psychiatrique alors que le Dr O______ posait celui d'épisode dépressif moyen et que l'anamnèse évoquait une claustrophobie. Les experts écartaient à tort le diagnostic de fibromyalgie pourtant évoqué par les Dres F______ et P______ et celui d'EDS pourtant confirmé par le Dr S______. Elle souligne aussi que c'est en raison de ses problèmes psychiques qu'elle tenait parfois des propos contradictoires ou exagérés.</w:t>
      </w:r>
    </w:p>
    <w:p>
      <w:r>
        <w:rPr>
          <w:b/>
        </w:rPr>
        <w:t>E. 8.2.1</w:t>
      </w:r>
    </w:p>
    <w:p>
      <w:r>
        <w:t>S'agissant de la fibromyalgie, le Dr H______ a expliqué que le diagnostic de syndrome douloureux chronique était retenu, plutôt que celui de fibromyalgie, le médecin rhumatologue traitant ne l'ayant pas posé. Quoiqu'il en soit, tant le diagnostic de fibromyalgie, que la recourante veut se voir reconnaître, que celui de syndrome douloureux chronique doivent être évalués selon les indicateurs pertinents, de sorte que si celui de fibromyalgie était retenu, les conclusions des experts du G______, fondées sur lesdits indicateurs, n'en seraient pas modifiées.</w:t>
      </w:r>
    </w:p>
    <w:p>
      <w:r>
        <w:rPr>
          <w:b/>
        </w:rPr>
        <w:t>E. 8.2.2</w:t>
      </w:r>
    </w:p>
    <w:p>
      <w:r>
        <w:t>Concernant le diagnostic d’EDS, l’analyse moléculaire effectuée par la Dre V______ a exclu un tel diagnostic génétique et retenu un trouble du spectre ligamentaire. L’analyse génétique à laquelle s’est soumise la recourante n’a ainsi pas permis d’objectiver une maladie, comme relevé par la Dre V______. Or, comme relevé par le SMR, le trouble du spectre hypermobile, dans la mesure où il est susceptible de provoquer un état douloureux, doit être évalué, pour objectiver son caractère incapacitant, au moyen des indicateurs jurisprudentiels pertinents, comme l’ont fait les experts du G______. Par ailleurs, aucun médecin n’établit que le symptôme d’hypermobilité articulaire de ce trouble aurait un impact sur la capacité de travail, ce que la recourante n’invoque pas non plus, l’aspect incapacitant étant uniquement relié au syndrome douloureux.</w:t>
      </w:r>
    </w:p>
    <w:p>
      <w:r>
        <w:rPr>
          <w:b/>
        </w:rPr>
        <w:t>E. 8.2.3</w:t>
      </w:r>
    </w:p>
    <w:p>
      <w:r>
        <w:t>Quant au diagnostic d’épisode dépressif moyen posé par le Dr O______ le 5 octobre 2020, il n’est pas motivé et ne permet pas de mettre en doute le diagnostic de trouble anxieux et dépressif mixte posé par le Dr R______. S’agissant du diagnostic de claustrophobie, évoqué par le Dr R______, la recourante n’indique pas en quoi il serait incapacitant.</w:t>
      </w:r>
    </w:p>
    <w:p>
      <w:r>
        <w:rPr>
          <w:b/>
        </w:rPr>
        <w:t>E. 8.2.4</w:t>
      </w:r>
    </w:p>
    <w:p>
      <w:r>
        <w:t>Les experts ont retenu les diagnostics suivants : sur le plan de la médecine interne (polyatopie ; allergie aux aminopénicillines ; surcharge pondérale ; probable syndrome de l’intestin irritable ; vessie hyperactive ; céphalées chroniques à prédominance de céphalées de tension ; hyperplasie nodulaire focale ; ostéopénie) ; sur le plan de la médecine physique et réadaptation (syndrome douloureux chronique [MG30.0] et syndrome algo- dysfonctionnel temporo-mandibulaire) ; sur le plan psychique (troubles anxieux et dépressifs mixtes [F41.2] et syndrome douloureux somatoforme persistant [F45.4]).</w:t>
      </w:r>
    </w:p>
    <w:p>
      <w:r>
        <w:t>A/3897/2018 - 18/19 -</w:t>
      </w:r>
    </w:p>
    <w:p>
      <w:r>
        <w:rPr>
          <w:b/>
        </w:rPr>
        <w:t>E. 8.2.5</w:t>
      </w:r>
    </w:p>
    <w:p>
      <w:r>
        <w:t>En présence d’un syndrome douloureux chronique et de diagnostics psychiatriques, les experts ont procédé à l’analyse des indicateurs jurisprudentiels précités. À cet égard, le Dr H______ a relevé que le traitement pouvait être intensifié, la recourante étant dans une prise en charge essentiellement passive ; la fatigue évoquée n’avait pas été observée. Elle s’appuyait sur sa famille, une voisine et une amie, ses ressources externes étant réduites ; elle disposait de ressources physiques qu’elle pourrait mieux mobiliser ; selon le Dr T______, il existait une incohérence entre les plaintes multiples et l’absence de constatation d’une altération de l’état général, de postures antalgiques, de fatigabilité ; enfin le Dr R______ a relevé que le taux de Cymbalta était en dessous de la fourchette thérapeutique ; il n’y avait jamais eu de traitement psychiatrique ambulatoire intensif. Il y avait des divergences entre les symptômes décrits et l’examen clinique ; la fatigue, l’humeur anxieuse et dépressive n’étaient pas retrouvées à l’examen clinique ; il existait de nombreuses incohérences. Les trois experts ont relevé des comportements de majoration. La recourante était capable de communiquer, de respecter un cadre, elle avait des capacités d’adaptation, de la flexibilité ; elle était psychiquement endurante et faisait valoir ses droits ; elle était claire, indépendante, avait des capacités de prise de décision, de jugement et avait de bonnes capacités relationnelles. L’évaluation consensuelle des experts du 21 avril 2021 (à l’aune des indicateurs pertinents) concluait à l’absence de diagnostics incapacitants et à une capacité de travail de 100% dans l’activité habituelle.</w:t>
      </w:r>
    </w:p>
    <w:p>
      <w:r>
        <w:rPr>
          <w:b/>
        </w:rPr>
        <w:t>E. 8.2.6</w:t>
      </w:r>
    </w:p>
    <w:p>
      <w:r>
        <w:t>La recourante ne conteste pas spécifiquement l’analyse des indicateurs, hormis le constat d’une démonstrativité excessive, qu’elle impute aux symptômes de sa maladie. Cette critique, fondée sur la seule déclaration de la recourante, ne remet pas en cause le constat des experts.</w:t>
      </w:r>
    </w:p>
    <w:p>
      <w:r>
        <w:rPr>
          <w:b/>
        </w:rPr>
        <w:t>E. 8.3</w:t>
      </w:r>
    </w:p>
    <w:p>
      <w:r>
        <w:t>Au demeurant, la conclusion des experts du G______ doit être suivie et la recourante reconnue capable de travailler à un taux de 100% dans toute activité.</w:t>
      </w:r>
    </w:p>
    <w:p>
      <w:r>
        <w:rPr>
          <w:b/>
        </w:rPr>
        <w:t>E. 9</w:t>
      </w:r>
    </w:p>
    <w:p>
      <w:r>
        <w:t>Partant, la recourante présente un degré d’invalidité nul, de sorte que la décision litigieuse lui refusant tout droit à des prestations d’invalidité ne peut qu’être confirmée et le recours rejeté. Bien que la procédure ne soit pas gratuite en matière d’assurance-invalidité (art. 69 al. 1bis LAI), il n’y a pas lieu de percevoir un émolument, la recourante étant au bénéfice de l’assistance juridique (art. 12 al. 1 du règlement sur les frais, émoluments et indemnités en procédure administrative du 30 juillet 1986 [RFPA - E 5 10.03]).</w:t>
      </w:r>
    </w:p>
    <w:p>
      <w:r>
        <w:t>A/3897/2018 - 19/19 -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