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ATAS/599/2011 vom 7. Juni 2011</w:t>
      </w:r>
    </w:p>
    <w:p>
      <w:r>
        <w:t>GE Cour de justice, 2011-06-07, FR</w:t>
      </w:r>
    </w:p>
    <w:p>
      <w:r>
        <w:rPr>
          <w:b/>
        </w:rPr>
        <w:t xml:space="preserve">Quelle: </w:t>
      </w:r>
      <w:r>
        <w:t>https://mcp.opencaselaw.ch/entscheid/ge_gerichte_ATAS_599_2011</w:t>
      </w:r>
    </w:p>
    <w:p>
      <w:r>
        <w:t>FR: GE_GERICHTE ATAS/599/2011 du 7 juin 2011</w:t>
      </w:r>
    </w:p>
    <w:p>
      <w:r>
        <w:t>IT: GE_GERICHTE ATAS/599/2011 del 7 giugno 2011</w:t>
      </w:r>
    </w:p>
    <w:p>
      <w:pPr>
        <w:pStyle w:val="Heading2"/>
      </w:pPr>
      <w:r>
        <w:t>Erwägungen</w:t>
      </w:r>
    </w:p>
    <w:p>
      <w:r>
        <w:rPr>
          <w:b/>
        </w:rPr>
        <w:t>E. 2</w:t>
      </w:r>
    </w:p>
    <w:p>
      <w:r>
        <w:t>de la loi fédérale sur la poursuite pour dettes et la faillite du 11 avril 1889 (LP; P.-R. GILLIERON, Commentaire de la LP, 1999 p. 1226 ch. 45) ; Qu’il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C. JAEGER, Bundesgesetz über Schuldbetreibung und Konkurs, 1999 p. 621); que par autorités administratives fédérales, et par extension autorités administratives cantonales de dernières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LPA) ; Que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51); Qu’en l'espèce, la Cour de céans tient pour établi qu'en sa qualité d'employeur occupant des salariés, la société devait obligatoirement être affiliée à une institution de prévoyance professionnelle; Qu’il convient par ailleurs d'admettre que les décomptes sont exacts; qu'en effet, il ressort de l'ensemble des pièces produites par la fondation que, à la date de la résiliation du contrat le 19 novembre 2009, la société devait encore 5'702 fr. 90, ce qui, après déduction des intérêts créanciers ( - 78 fr. 95) et ajouté aux intérêts dus (23 fr. 15) et, selon l'art 2.2. du règlement concernant les frais, aux frais de rappel (50 fr.) et de demande de mise aux poursuite (500 fr.), la société est demeurée débitrice d'un montant de 6'197 fr. 10; Que s'agissant de la somme de 500 fr. précitée, elle est admise au titre des frais de "demande de mise aux poursuites" (art 2.2 du règlement concernant les frais) et non pas de sommation, le règlement précité ne prévoyant pas ces derniers mais seulement des frais de rappel de 50 fr. (1er rappel: facturé le 18 décembre 2009) et de 150 fr. (2ème rappel: non effectué);</w:t>
      </w:r>
    </w:p>
    <w:p>
      <w:r>
        <w:t>A/588/2011 - 6/8 - Qu’en ce qui concerne les frais de poursuite, ils sont d'office supportés par le débiteur lorsque la poursuite aboutit (JdT 1974 III 32), que les intérêts et frais dus par le défendeur sont par ailleurs prévus à l'art. 3 al. 2 de l'ordonnance sur les droits de l'institution supplétive en matière de prévoyance professionnelle précitée et selon les conditions d'affiliation remises à l'employeur lors de la décision d'affiliation; Que par contre le règlement concernant les frais prévoit, outre les frais de mise en poursuite de 500 fr. déjà inclus dans la somme de 6'197 fr. 10, des frais de demande d'encaissement par voie légale (500 fr.), des frais de plainte (750 fr.) et des frais de demande de mise en faillite (1'000 fr.), de sorte que la demanderesse ne peut pas prétendre, par le dépôt d'une seule action en paiement, concluant à la mainlevée de l'opposition, percevoir 500 fr. et 750 fr.; Qu'en l'espèce, au vu des conclusions prises, il sera admis que la demande est une action au fond, désignée par plainte de sorte que le montant retenu est de 750 fr; Qu'en outre, la simple passivité du débiteur, celui-ci n'ayant réagi ni aux sommations de la Fondation, ni aux délais fixés par la Cour de céans, ne saurait empêcher la Fondation d'engager et de continuer des procédures de recouvrement afin d'obtenir la reconnaissance de ses droits (ATA J. du 5 septembre 1995); Qu'en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Que cette disposition est en réalité une reprise de l’art. 61 let. g 1ère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des dépens s’il obtient gain de cause (ATF 108 V 111).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w:t>
      </w:r>
    </w:p>
    <w:p>
      <w:r>
        <w:t>A/588/2011 - 7/8 - Qu'il ne se justifie pas de traiter différemment la situation lorsque l'assureur social agit contre l'employeur, étant précisé que la demande de mainlevée d'opposition ne nécessite pas le recours à un avocat, les fondations de prévoyance agissant d'ailleurs toujours en personne et que le fait de former opposition à une poursuite fondée n'est pas assimilé à un action judiciaire téméraire, de sorte que la demanderesse ne peut pas prétendre à des dépens; Que pour le surplus, il y a lieu d'admettre partiellement la demande et de prononcer la mainlevée définitive de l'opposition au commandement de payer ;</w:t>
      </w:r>
    </w:p>
    <w:p>
      <w:r>
        <w:t>A/588/2011 - 8/8 -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