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ATAS/598/2024 vom 5. August 2024</w:t>
      </w:r>
    </w:p>
    <w:p>
      <w:r>
        <w:t>GE Cour de justice, 2024-08-05, FR</w:t>
      </w:r>
    </w:p>
    <w:p>
      <w:r>
        <w:rPr>
          <w:b/>
        </w:rPr>
        <w:t xml:space="preserve">Quelle: </w:t>
      </w:r>
      <w:r>
        <w:t>https://mcp.opencaselaw.ch/entscheid/ge_gerichte_ATAS_598_2024</w:t>
      </w:r>
    </w:p>
    <w:p>
      <w:r>
        <w:t>FR: GE_GERICHTE ATAS/598/2024 du 5 août 2024</w:t>
      </w:r>
    </w:p>
    <w:p>
      <w:r>
        <w:t>IT: GE_GERICHTE ATAS/598/2024 del 5 agosto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w:t>
      </w:r>
    </w:p>
    <w:p>
      <w:r>
        <w:rPr>
          <w:b/>
        </w:rPr>
        <w:t>E. 1.2</w:t>
      </w:r>
    </w:p>
    <w:p>
      <w:r>
        <w:t>Interjeté en temps utile, le recours est recevable (art. 60 LPGA).</w:t>
      </w:r>
    </w:p>
    <w:p>
      <w:r>
        <w:t>A/3944/2023 - 9/22 -</w:t>
      </w:r>
    </w:p>
    <w:p>
      <w:r>
        <w:rPr>
          <w:b/>
        </w:rPr>
        <w:t>E. 2</w:t>
      </w:r>
    </w:p>
    <w:p>
      <w:r>
        <w:t>Le litige porte, d’une part, sur le droit du recourant à des indemnités journalières et à la prise en charge des soins au-delà du 30 avril 2023 et, d’autre part, sur son droit à une rente d’invalidité et à une IPAI dans l’hypothèse où il n’y aurait plus lieu d’attendre de la continuation du traitement médical une sensible amélioration de son état de santé.</w:t>
      </w:r>
    </w:p>
    <w:p>
      <w:r>
        <w:rPr>
          <w:b/>
        </w:rPr>
        <w:t>E. 3.1</w:t>
      </w:r>
    </w:p>
    <w:p>
      <w:r>
        <w:t>Aux termes de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122 V 230 consid. 1 et les références). La responsabilité de l’assureur-accidents s’étend, en principe, à toutes les conséquences dommageables qui se trouvent dans un rapport de causalité naturelle (ATF 129 V 177 consid. 3.1 et les références ; 129 V 402 consid. 4.3.1 et les références) et adéquate avec l’événement assuré (ATF 129 V 177 consid. 3.2 et la référence ; 129 V 402 consid. 2.2 et les références).</w:t>
      </w:r>
    </w:p>
    <w:p>
      <w:r>
        <w:rPr>
          <w:b/>
        </w:rPr>
        <w:t>E. 3.2</w:t>
      </w:r>
    </w:p>
    <w:p>
      <w:r>
        <w:t>L’assuré a droit au traitement médical approprié des lésions résultant de l’accident (art. 10 al. 1 LAA). S’il est totalement ou partiellement incapable de travailler (art. 6 LPGA), il a droit à une indemnité journalière (art. 16 al. 1 LAA). Le droit à l’indemnité journalière naît le troisième jour qui suit celui de l’accident ; il s’éteint dès que l’assuré a recouvré sa pleine capacité de travail, dès qu’une rente d’invalidité est versée ou dès que l’assuré décède (art. 16 al. 2 LAA). Si l’assuré est invalide (art. 8 LPGA) à 10 % au moins par suite d’un accident, il a droit à une rente d’invalidité, pour autant que l’accident soit survenu avant l’âge ordinaire de la retraite (art. 18 al. 1 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w:t>
      </w:r>
    </w:p>
    <w:p>
      <w:r>
        <w:rPr>
          <w:b/>
        </w:rPr>
        <w:t>E. 3.3</w:t>
      </w:r>
    </w:p>
    <w:p>
      <w:r>
        <w:t>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148 V 174 consid. 6.3 et les références ; 146 V 16 consid. 4.1 et ss. et les références). L'étendue de l'abattement justifié dans un cas concret relève du pouvoir d'appréciation (ATF 132 V 393 consid. 3.3). 6.2.2.1 S’agissant du revenu d’invalide, l’intimée l’a également déterminé sur la base de l’ESS. Dans la mesure où le recourant n’a pas repris d’activité lucrative après la survenance de l’atteinte à la santé, ce choix, qui n’est pas contesté, n’apparaît pas contestable non plus (cf. ATF 148 V 174 consid. 6.2). Il en va de même de la référence au tableau TA1, tirage « skill level » de l’ESS 2020, plus précisément à la ligne « total », pour un homme, et au niveau de compétences 1, ce qui correspond à CHF 5’261.- (soit CHF 63’132.- par an) pour 40 heures de travail, respectivement CHF 65’815.11 en tenant compte de la durée normale de</w:t>
      </w:r>
    </w:p>
    <w:p>
      <w:r>
        <w:t>A/3944/2023 - 18/22 - travail dans les entreprises (41.7h) puis, après indexation à l’année 2023 à CHF 67'196.50. On précisera toutefois que si le revenu de valide et le revenu d'invalide sont calculés à partir du même salaire statistique – comme cela est le cas en l’espèce –, il n'est pas nécessaire de les déterminer avec précision. Dans ce cas, le degré d'invalidité correspond en effet au degré d'incapacité de travail, compte tenu d'une éventuelle déduction du salaire fondé sur les statistiques, qui ne doit pas dépasser 25 %. Il ne s’agit pas d’une « comparaison en pour-cent » au sens de l'ATF 114 V 310 consid. 3a, mais d’une simplification purement arithmétique (arrêt du Tribunal fédéral 8C_111/2023 du 12 octobre 2023 consid. 6.2 et les références). 6.2.2.2 Étant donné qu’en l’espèce, l’exercice d’une activité adaptée est exigible à plein temps depuis le 1er mai 2023, la perte de gain est en principe nulle et le degré d’invalidité ne l’est pas moins, à moins qu’il y ait lieu d’opérer un abattement sur le revenu d’invalide. À cet égard, il y a lieu d’admettre, au vu de la jurisprudence récente du Tribunal fédéral 8C_823/2023 du 8 juillet 2024, que la jurisprudence précitée concernant l’abattement est toujours applicable, nonobstant l’entrée en vigueur de l’art. 26bis al. 3 LAI le 1er janvier 2022, étant relevé que cette question se pose dès lors que dans le domaine du droit de l’assurance-accident, les principes connus du droit de l’assurance-invalidité sont quotidiennement appliqués par analogie lors de l’évaluation de l’invalidité (arrêt du Tribunal fédéral 8C_823/2023 précité consid. 9.5.3.6.2), Alors que le calcul du taux d’invalidité effectué par l’intimée tenait compte dans la décision du 31 mai 2023 d’un tel abattement de 10 % au titre des limitations fonctionnelles retenues et du permis de séjour – lequel était néanmoins insuffisant pour ouvrir droit à une rente (cf. pièce 192 intimé pour le détail du calcul) –, la décision litigieuse ne consent à aucune réduction. Le recourant soutient que ses limitations fonctionnelles, sa nationalité kosovare, sa situation personnelle (enfants en bas âge à charge) et son absence d’autorisation de séjour justifieraient un abattement de 15 %. La situation familiale et l’éloignement du marché du travail, ne sont pas des facteurs d’abattement au sens de la jurisprudence (ATF 126 V 75 consid. 5b/aa et bb ; cf. aussi arrêt du Tribunal fédéral 9C_273/2019 du 18 juillet 2019 consid. 6.3). Par ailleurs, le Tribunal fédéral a considéré à réitérées reprises qu'en cas de limitation des activités exigibles à des activités mono-manuelles ou lorsque la main dominante ne peut être utilisée que pour des gestes d'appoint, un abattement de 20 à 25 % du revenu d'invalide est en principe justifié (arrêts du Tribunal fédéral 8C_58/2018 du 7 août 2018 consid. 5.3 et les nombreux arrêts cités, in SVR 2019 UV n° 7 p. 27 ; 8C_606/2022 du 4 mai 2023 consid. 6.1 ;</w:t>
      </w:r>
    </w:p>
    <w:p>
      <w:r>
        <w:t>A/3944/2023 - 19/22 - cf. néanmoins les arrêts du Tribunal fédéral 8C_587/2019 du 30 octobre 2019 consid. 7.3 ; 8C_383/2020 du 21 septembre 2020 consid. 4.2.2 et les arrêts cités, dans lesquels des abattements de 15 % et 10 % ont été considérés comme admissibles, le Tribunal fédéral n'ayant pas constaté d'abus ou d'excès du pouvoir d'appréciation ; arrêt du Tribunal fédéral 8C_706/2022 du 5 décembre 2023 consid. 6.3.2.1). En l’espèce, il ressort des constatations – non contredites – du Dr N______, qui coïncident avec celles de la CRR, que le recourant présente une utilisation fonctionnelle de la main lésée de 63 % à gauche par rapport à la droite et une « fonction bimanuelle à 85 % » (cf. rapport du 21 mars 2023, p. 6), de sorte qu’il serait excessif de le qualifier de mono-manuel. Un abattement de 20 à 25 % n’est ainsi pas justifié. En revanche le critère de l’absence de permis de séjour du recourant cumulé à celui des limitations fonctionnelles, – lesquelles même si elles ne correspondent pas à une activité monomanuelle n’en seraient pas moins importantes – justifient l’application d’un abattement de 10 %, comme l’intimé l’avait initialement accordé. Aussi convient-il de le rétablir, si bien que le degré d’invalidité, qui s’élève ainsi à 10 % ouvre droit à une rente d’invalidité à ce même taux à partir du 1er mai 2023. 7. Il convient enfin d’examiner si le recourant peut prétendre à une IPAI.</w:t>
      </w:r>
    </w:p>
    <w:p>
      <w:r>
        <w:rPr>
          <w:b/>
        </w:rPr>
        <w:t>E. 3.4</w:t>
      </w:r>
    </w:p>
    <w:p>
      <w:r>
        <w:t>La notion d’incapacité de travail, à laquelle renvoie l’art. 16 al. 1 LAA comme condition du droit à l’indemnité journalière, est définie à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(art. 6, 1e phr., LPGA). En cas d’incapacité de travail de longue durée, l’activité qui peut être exigée de lui peut aussi relever d’une autre profession ou d’un autre domaine d’activité (art. 6, 2e phr., LPGA). À cet égard, la jurisprudence considère qu’un délai doit être imparti à l’intéressé pour rechercher une activité raisonnablement exigible dans une autre profession ou un autre domaine. La durée de ce délai doit être appréciée selon les circonstances du cas particulier ; elle est généralement de trois à cinq mois selon</w:t>
      </w:r>
    </w:p>
    <w:p>
      <w:r>
        <w:t>A/3944/2023 - 11/22 - la pratique applicable en matière d’assurance-maladie (ATF 129 V 460 consid. 5.2 et les références ; 114 V 281 consid. 5b et les références). À l’issue de ce délai, le droit à l’indemnité journalière dépend de l’existence d’une éventuelle perte de gain imputable au risque assuré. Celle-ci se détermine par la différence entre le revenu qui pourrait être obtenu sans la survenance de l’éventualité assurée dans la profession exercée jusqu’alors et le revenu qui est obtenu ou pourrait raisonnablement être réalisé dans la nouvelle profession. La perte de gain chiffrée en pour cent donne ainsi le taux de l’incapacité de travail résiduelle. Toutefois, cette jurisprudence, développée en relation avec l’obligation de diminuer le dommage en cas d’atteinte à la santé (exprimé à l’art. 6, 2e phr., LPGA par l’exigibilité d’une activité de substitution en cas d’incapacité de travail durable), ne concerne que l’indemnité journalière et n’est pas transposable au domaine des rentes pour lesquelles le droit prend naissance selon d’autres conditions prévues par les lois spéciales, soit en assurance-accidents l’art. 19 LAA (arrêt du Tribunal fédéral 8C_310/2019 du 14 avril 2020 consid. 6.1.2 et les références). Autrement dit, dès lors que l’état de santé de l’assuré est stabilisé – au sens de l’art. 19 al. 1, 1e phr., LAA – et qu’il y a en conséquence lieu d’examiner s’il peut prétendre à une rente, l’assureur-accidents n’est pas tenu de lui impartir un délai pour s’adapter aux nouvelles circonstances et de continuer de lui verser les indemnités journalières pendant cette période. Il doit clore le cas et mettre un terme au paiement de l’indemnité journalière. Le versement d’une rente d’invalidité – pour autant que l’assuré y ait droit en vertu de l’art. 18 al. 1 LAA – intervient au moment où prend fin le droit à l’indemnité journalière (arrêt du Tribunal fédéral 8C_39/2020 du 19 juin 2020 consid. 4.3). 4.</w:t>
      </w:r>
    </w:p>
    <w:p>
      <w:r>
        <w:t>4.1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w:t>
      </w:r>
    </w:p>
    <w:p>
      <w:r>
        <w:t>A/3944/2023 - 12/22 - plaintes exprimées, qu’il ait été établi en pleine connaissance du dossier (anamnèse), que la description des interférences médicales soit claire et enfin que les conclusions de l’expert soient bien motivées (ATF 125 V 351 consid. 3). 4.2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Lorsque dans une procédure portant sur l’octroi ou le refus de prestations d’assurances sociales, 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l’article 44 LPGA ou une expertise judiciaire (ATF 135 V 465 ; arrêt du Tribunal fédéral 8C_552/2009 du 8 avril 2010 consid. 5.3). 4.3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Aussi n’existe-t-il pas, en droit des assurances sociales, un principe selon lequel l’administration ou le juge devrait statuer, dans le doute, en faveur de l’assuré (ATF 126 V 319 consid. 5a). 4.4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5. En l’espèce, l’intimée a fait siennes les conclusions du rapport du 21 mars 2023 du Dr N______, notamment en tant que ce médecin y fixe la stabilisation du cas au 30 avril 2023, reprenant ainsi les conclusions du rapport du 13 janvier 2023 de</w:t>
      </w:r>
    </w:p>
    <w:p>
      <w:r>
        <w:t>A/3944/2023 - 13/22 - la CRR – lesquelles faisaient elles-mêmes dépendre la stabilisation dans un délai de trois mois de la non-réalisation d’une nouvelle intervention au bras gauche. Sachant que lors de la consultation du 30 janvier 2023 – expressément réservée par le rapport précité de la CRR –, le Dr M______ s’est prononcé en défaveur d’une telle intervention – qui aurait eu pour objet une ablation du matériel d’ostéosynthèse, laquelle n’a effectivement pas eu lieu – et que le Dr M______ retenait déjà dans une rapport du 27 mars 2023 à l’OAI – soit plus d’un mois avant le 30 avril 2023 –, qu’une activité qui ne nécessitait ni utilisation en force ni mouvements répétitifs du membre supérieur était envisageable à plein temps, la chambre de céans considère que les conclusions du rapport du 21 mars 2023 du Dr N______ ne sont pas critiquables en tant qu’elles fixent la stabilisation du cas au 30 avril 2023. Le recourant estime pour sa part que cette conclusion serait incorrecte. Pour étayer son avis, il se fonde sur un certificat d’arrêt de travail pour accident établi le 17 mai 2023 par la Dre I______, attestant une incapacité de travail de 100 % du 1er au 30 juin 2023 (cf. pièce 191 intimée). Force est cependant de constater que ce certificat – dont la motivation se résume à établir un lien entre l’incapacité totale de travail et l’accident – se rapporte manifestement à un point non contesté du dossier, à savoir que le recourant présente (et présentait toujours, en juin 2023) une incapacité de travail totale dans son activité habituelle, ce depuis l’accident du 25 novembre 2020, étant relevé que la Dre I______ avait déjà délivré d’autres certificats d’arrêt de travail, portant sur des périodes antérieures à juin 2023, en lien avec la même atteinte accidentelle (cf. pièce 189 intimé). Dans un deuxième moyen, le recourant fait valoir que dans son rapport du 13 janvier 2023, la CRR estimait que la poursuite d’un traitement de physiothérapie en ambulatoire pourrait permettre d’améliorer la fonction articulaire et musculaire du membre supérieur gauche, ainsi que la proprioception de celui-ci. La chambre de céans constate toutefois que même si des séances de physiothérapie étaient toujours à l’ordre du jour en avril 2023, voire au-delà (cf. le rapport du 19 avril 2023 de la Dre I______, proposant la poursuite de la physiothérapie ; pièce 189 intimée), il n’en demeure pas moins que selon la jurisprudence, de petits progrès attendus par des mesures telles que la balnéothérapie ou la physiothérapie n’empêchent pas la clôture du cas. On relèvera enfin que des mesures de réadaptation de l’assurance-invalidité n’étaient pas en cours au 30 avril 2023. Compte tenu de ces éléments, l’intimée était fondée à mettre fin à la prise en charge des frais de traitement et au paiement des indemnités journalières avec effet au 30 avril 2023. 6. Dans la mesure où le versement d’une rente d’invalidité intervient au moment où prend fin le droit à une indemnité journalière, il reste à examiner si le recourant peut prétendre à une telle rente à compter du 1er mai 2023.</w:t>
      </w:r>
    </w:p>
    <w:p>
      <w:r>
        <w:t>A/3944/2023 - 14/22 - 6.1 En l’espèce, il est constant que l’accident du 25 novembre 2020 a causé une fracture de l’avant-bras gauche et que malgré le traitement prodigué, comprenant deux interventions chirurgicales réalisées les 26 novembre 2020 et 8 avril 2022, un retour du membre supérieur gauche à l’état qui était le sien avant l’accident n’a pas eu lieu. À cet égard, le Dr N______ – dont le rapport du 21 mars 2023 est à la base de la décision litigieuse – est d’avis que compte tenu de la perte de force d’utilisation de son membre supérieur gauche, le recourant ne peut plus exercer son activité antérieure de monteur de clôtures mais que l’exercice d’une autre activité est exigible à plein temps et sans qu’il y ait lieu de s’attendre à une diminution de rendement, sous réserve qu’une telle activité ne nécessite ni le port de charges – prolongé ou répétitif – de plus de 15 kg, ni le maintien prolongé ou des mouvements répétés du membre supérieur gauche, en particulier au-dessus du plan des épaules, ni des mouvements répétés de la main, du poignet et du coude gauches. Le recourant sollicite préalablement la mise en œuvre d’une voire plusieurs expertises pour examiner son état actuel de santé et sa capacité à exercer une activité professionnelle. On rappellera en premier lieu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Partant, en tant qu’elles visent à effectuer des investigations sur l’état de santé « actuel » du recourant, les mesures d’instruction ne sont pas pertinentes pour l’issue du litige, ce d’autant moins que le recourant ne remet en cause ni sa pleine capacité de travail dans une activité adaptée, telle qu’elle résulte des conclusions claires et cohérentes du Dr N______, ni les limitations fonctionnelles retenues par ce médecin, qui reprennent celles déjà constatées par les médecins de la CRR dans leur rapport du 13 janvier 2023. Ces conclusions ne sauraient être remises en cause par l’arrêt de travail du 1er au 30 juin 2023, délivré le 17 mai 2023 par la Dre I______, lequel est muet sur la capacité de travail exigible du recourant dans une activité adaptée. Aussi, en l’absence d’argument pertinent et de production d’un avis médical s’écartant de manière motivée des conclusions du médecin d’assurance de l’intimée, la chambre de céans s’en tiendra à celles-ci par appréciation anticipée des preuves, et considérera qu’il est établi, au degré de la vraisemblance prépondérante, que le recourant présente une totale incapacité de travail dans son activité antérieure de monteur de clôtures, et qu’au moment où l’intimée a mis fin au paiement de l’indemnité journalière et des soins, soit au 30 avril 2023, l’exercice d’une activité adaptée aux limitations fonctionnelles décrites était exigible à plein temps. 6.2 Pour la détermination du degré d’invalidité du recourant, il convient, en principe, de procéder à la comparaison des revenus en 2023, année de la</w:t>
      </w:r>
    </w:p>
    <w:p>
      <w:r>
        <w:t>A/3944/2023 - 15/22 - stabilisation de l’état de santé et donc de l’ouverture éventuelle du droit à une rente d’invalidité. On précisera également que les variations enregistrées par les revenus à comparer doivent être prises en compte jusqu’à la date de la décision sur opposition (cf. ATF 143 V 295 consid. 4.1.3), en l’occurrence le 25 octobre 2023. 6.2.1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8C_50/2022 du 11 août 2022 consid. 5.1.1 et la référence, in SVR 2023 UV n° 8 p. 22). C’est par exemple le cas lorsque l’emploi occupé avant la survenance de l’atteinte à la santé n’existe plus au moment déterminant pour l’évaluation de l’invalidité (cf. arrêts du Tribunal fédéral 9C_501/2013 du 28 novembre 2013 consid. 4.2 ; 9C_416/2011 du 26 janvier 2011 consid. 3.2 et la référence à l’arrêt du Tribunal fédéral des assurances B 80/01 du 17 octobre 2003 consid. 5.2.2). C’est le cas également lorsqu’il est établi, au degré de la vraisemblance prépondérante, que la personne assurée aurait perdu son emploi même sans atteinte à la santé (arrêt du Tribunal fédéral 9C_882/2010 du 25 janvier 2011 consid. 7.2.2) ou qu’elle a déjà perdu son emploi avant l’accident (arrêt du Tribunal fédéral des assurances U 3/03 du 4 septembre 2003 consid. 6.2). Il n’en va pas autrement lorsqu’au moment de la naissance du droit à la rente, la personne assurée contre les accidents ne pourrait plus exercer son activité habituelle pour des raisons de santé étrangères à l’accident (arrêt du Tribunal fédéral 8C_41/2015 du 24 avril 2015 consid. 2.3). Ainsi, si la perte de l'emploi est due à des motifs étrangers à l'invalidité, le revenu sans invalidité doit en principe être déterminé sur la base de valeurs moyennes (arrêts 9C_500/2020 du 1er mars 2021 consid. 4.1 ; 9C_212/2015 du 9 juin 2015 consid. 5.4 et les arrêts cités). Autrement dit, n'est pas déterminant pour la fixation du revenu hypothétique de la personne valide le salaire que la personne assurée réaliserait actuellement auprès de son ancien employeur, mais bien plutôt celui</w:t>
      </w:r>
    </w:p>
    <w:p>
      <w:r>
        <w:t>A/3944/2023 - 16/22 - qu'elle réaliserait si elle n'était pas devenue invalide (arrêts du Tribunal fédéral 8C_746/2023 du 7 juin 2024 ; 8C_259/2021 du 23 septembre 2021 consid. 3 et les arrêts cités). 6.2.1.1 Sachant qu’en l’espèce, l’employeur a confirmé par courriel du</w:t>
      </w:r>
    </w:p>
    <w:p>
      <w:r>
        <w:rPr>
          <w:b/>
        </w:rPr>
        <w:t>E. 7</w:t>
      </w:r>
    </w:p>
    <w:p>
      <w:r>
        <w:t>avril 2021 que le recourant n’était plus son employé après le 31 décembre 2020 (pièce 9 intimée), il y a lieu de considérer qu’il est établi, au degré de la vraisemblance prépondérante, qu’au moment déterminant pour l’évaluation de l’invalidité, le recourant n’aurait de toute manière plus exercé d’activité pour le même employeur même s’il n’avait pas connu d’incapacité de gain consécutive à l’accident du 25 novembre 2020. Dans ces conditions, le choix de l’intimée de déterminer le revenu sans invalidité au moyen de l’ESS ne prête pas le flanc à la critique, à tout le moins sur le principe. L’intimée s’est référée à l’ESS 2020, plus précisément aux lignes 77-82 (activités de services administratifs et de soutien) du tableau TA1. Ces activités comprennent, entre autres, les services relatifs aux bâtiments et à l’aménagement paysager (ligne 81), lesquels incluent notamment « les services d’aménagement et d’entretien paysager et la prestation de ces services en combinaison avec la conception de plans paysagers et/ou la construction (l’installation) d’allées piétonnières, de murs de soutènement, de terrasses, de clôtures, d’étangs et de structures similaires » (cf. Office fédéral de la statistique, NOGA 2008, Nomenclature générale des activités économiques, Notes explicatives, pp. 208-209). 6.2.1.2 Il ressort des déclarations du recourant dans le cadre de son séjour à la CRR qu’il a travaillé en tant que berger et paysagiste au Kosovo avant son arrivée en Suisse en 2006 et en tant que monteur de clôtures depuis lors (cf. dossier intimée, doc. 149, p. 14). Il ressort par ailleurs des précisions fournies le</w:t>
      </w:r>
    </w:p>
    <w:p>
      <w:r>
        <w:rPr>
          <w:b/>
        </w:rPr>
        <w:t>E. 7.1</w:t>
      </w:r>
    </w:p>
    <w:p>
      <w:r>
        <w:t>Selon l’art. 24 al.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de l’ordonnance sur l’assurance-accidents, du 20 décembre 1982 - OLAA - RS 832.202). D’après l’art. 25 al. 1 LAA, l’indemnité pour atteinte à l’intégrité est allouée sous forme de prestation en capital ; elle ne doit pas excéder le montant maximum du gain annuel assuré à l’époque de l’accident et elle est échelonnée selon la gravité de l’atteinte à l’intégrité. Selon l’art. 36 al. 4 OLAA, il sera équitablement tenu compte des aggravations prévisibles de l’atteinte à l’intégrité. Une révision n’est possible qu’en cas exceptionnel, si l’aggravation est importante et n’était pas prévisible.</w:t>
      </w:r>
    </w:p>
    <w:p>
      <w:r>
        <w:rPr>
          <w:b/>
        </w:rPr>
        <w:t>E. 7.2</w:t>
      </w:r>
    </w:p>
    <w:p>
      <w:r>
        <w:t>L’indemnité pour atteinte à l’intégrité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w:t>
      </w:r>
    </w:p>
    <w:p>
      <w:r>
        <w:t>A/3944/2023 - 20/22 -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(cf. Jean-Maurice FRÉSARD, Margit MOSER-SZELESS, L’assurance-accidents obligatoire in : Schweizerisches Bundesverwaltungsrecht (SBVR), 3ème éd. 2016, n. 311).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consid. 1 ; 113 V 218 consid. 4b ; RAMA 2004 n° U 514 p. 415, U 134/03, consid. 5.2 ; RAMA 2000 n° U 362 p. 41). Une atteinte à l’intégrité au sens de l’art. 24 al. 1 LAA consiste généralement en un déficit corporel – anatomique ou fonctionnel –, mental ou psychique (cf. Alfred MAURER, Schweizerisches Unfallversicherungsrecht, 1985, p. 414). La gravité de l’atteinte, dont dépend le montant de l’indemnité, se détermine uniquement d’après les constatations médicales (SVR 2009 UV n° 27 p. 97, arrêt du Tribunal fédéral 8C_459/2008 du 4 février 2009, consid. 2.3 ; cf. aussi Thomas FREI, Die Integritätsentschädigung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(Jean-Maurice FRÉSARD/ Margrit MOSER-SZELESS, op. cit. n. 317). L’annexe 3 de l’OLAA comporte un barème – reconnu conforme à la loi et non exhaustif (ATF 124 V 29 consid. 1b ; 124 V 209 consid. 4a/bb ; 113 V 218 consid. 2a)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 aucune indemnité ne sera versée dans les cas où un taux inférieur à 5 % du montant maximum du gain assuré serait appliqué (ch. 2).</w:t>
      </w:r>
    </w:p>
    <w:p>
      <w:r>
        <w:rPr>
          <w:b/>
        </w:rPr>
        <w:t>E. 7.3</w:t>
      </w:r>
    </w:p>
    <w:p>
      <w:r>
        <w:t>Dans son rapport du 21 mars 2023, le Dr N______ exclut l’octroi d’une IPAI au recourant, motif pris qu’il n’existe pas d’atteinte articulaire significative, « compte tenu de la bonne restauration et de la mobilité », et de l’absence de caractère arthrosique ou arthrogène retrouvé sur le poignet. Bien que ce médecin n’étaye pas son rapport en se référant aux tables de la SUVA, la chambre de céans constate néanmoins que la table 1 (Atteinte à</w:t>
      </w:r>
    </w:p>
    <w:p>
      <w:r>
        <w:t>A/3944/2023 - 21/22 - l’intégrité résultant de troubles fonctionnels des membres supérieurs) subordonne l’octroi d’une IPAI à une perte de mobilité, en particulier, pour l’avant-bras, à une perte de la pronation et/ou de la supination. Or, il ne ressort pas de l’examen du Dr N______, portant notamment sur la mobilité des coudes, des poignets et des mains, que ces critères seraient remplis. En envisageant le cas sous l’angle de la table 5 (Atteinte à l’intégrité résultant d’arthrose), le constat est le même, l’octroi d’une IPAI étant subordonné à une arthrose au moins moyenne. En tant qu’elles refusent tout droit à une IPAI, les conclusions du Dr N______ apparaissent donc en cohérence avec ses constatations cliniques. Le recourant objecte que c’est un taux d’IPAI de 30 % qui aurait dû être retenu dans la mesure où il n’est plus capable d’exercer une activité dans son domaine du fait des limitations fonctionnelles qui sont les siennes. En argumentant de la sorte, le recourant omet de prendre en considération le fait que l’IPAI ne sert pas à réparer les conséquences économiques de l’atteinte – qui sont indemnisées, cas échéant, au moyen d’une rente d’invalidité – mais joue le rôle de réparation morale (cf. l’ATF 133 V 224 consid. 5.1 précité). Pour le surplus, le recourant ne produit aucun avis médical dissident qui se prononcerait sur le droit éventuel à une IPAI sur la base de facteurs médicaux objectifs. Dans ces circonstances, la décision litigieuse n’est pas critiquable en tant qu’elle nie tout droit à une IPAI à l’intéressé.</w:t>
      </w:r>
    </w:p>
    <w:p>
      <w:r>
        <w:rPr>
          <w:b/>
        </w:rPr>
        <w:t>E. 8</w:t>
      </w:r>
    </w:p>
    <w:p>
      <w:r>
        <w:t>Compte tenu de ce qui précède, le recours est partiellement admis et la décision litigieuse réformée en ce sens que le recourant a droit à une rente d’invalidité de</w:t>
      </w:r>
    </w:p>
    <w:p>
      <w:r>
        <w:rPr>
          <w:b/>
        </w:rPr>
        <w:t>E. 10</w:t>
      </w:r>
    </w:p>
    <w:p>
      <w:r>
        <w:t>% à compter du 1er mai 2023. 9. Étant donné que le recourant obtient partiellement gain de cause, une indemnité de CHF 2'000.- lui sera accordée à titre de participation à ses frais et dépens, à charge de l’intimée (art. 61 let. g LPA ; art. 89H al. 3 LPA ; art. 6 du règlement sur les frais, émoluments et indemnités en procédure administrative du 30 juillet 1986 - RFPA - E 5.10.03). Pour le surplus, la procédure est gratuite (art. 61 let. fbis LPGA a contrario).</w:t>
      </w:r>
    </w:p>
    <w:p>
      <w:r>
        <w:t>A/3944/2023 - 22/22 -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