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ATAS/598/2010 vom 27. Mai 2010</w:t>
      </w:r>
    </w:p>
    <w:p>
      <w:r>
        <w:t>GE Cour de justice, 2010-05-27, FR</w:t>
      </w:r>
    </w:p>
    <w:p>
      <w:r>
        <w:rPr>
          <w:b/>
        </w:rPr>
        <w:t xml:space="preserve">Quelle: </w:t>
      </w:r>
      <w:r>
        <w:t>https://mcp.opencaselaw.ch/entscheid/ge_gerichte_ATAS_598_2010</w:t>
      </w:r>
    </w:p>
    <w:p>
      <w:r>
        <w:t>FR: GE_GERICHTE ATAS/598/2010 du 27 mai 2010</w:t>
      </w:r>
    </w:p>
    <w:p>
      <w:r>
        <w:t>IT: GE_GERICHTE ATAS/598/2010 del 27 maggio 2010</w:t>
      </w:r>
    </w:p>
    <w:p>
      <w:pPr>
        <w:pStyle w:val="Heading2"/>
      </w:pPr>
      <w:r>
        <w:t>Erwägungen</w:t>
      </w:r>
    </w:p>
    <w:p>
      <w:r>
        <w:rPr>
          <w:b/>
        </w:rPr>
        <w:t>E. 1</w:t>
      </w:r>
    </w:p>
    <w:p>
      <w:r>
        <w:t>let. a ch. 3 LOJ, en instance unique sur les contestations prévues à l’art. 56 de la loi fédérale sur la partie générale du droit des assurances sociales, du 6 octobre 2000 (LPGA; RS 830.1) relatives à la loi fédérale du 6 octobre 2006 sur les prestations complémentaires à l’AVS et à l’AI (LPC ; RS 831.30.). Il connaît aussi, en application de l'art. 56V al. 2 let. a LOJ, des contestations prévues à l'art. 43 de la loi cantonale sur les prestations cantonales complémentaires à l'assurance- vieillesse et survivants et à l'assurance-invalidité (LPCC ; J 7 15). Sa compétence pour juger du cas d’espèce est donc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 J 7 10]) auprès du tribunal des assurances du canton de domicile de l’assuré (art. 58 al. 1 LPGA). Les délais fixés par la loi ne courent pas du 15 juillet au 15 août inclusivement (art. 38 al. 4 LPGA). b) S’agissant des prestations complémentaire cantonales, l’art. 43 LPCC ouvre les mêmes voies de droit. c) En l’espèce, le recours formé le 11 août 2009 à l’encontre de la décision du 22 juillet 2009 a été interjeté dans les forme et délai prescrits par la loi, de sorte qu’il est recevable.</w:t>
      </w:r>
    </w:p>
    <w:p>
      <w:r>
        <w:rPr>
          <w:b/>
        </w:rPr>
        <w:t>E. 4</w:t>
      </w:r>
    </w:p>
    <w:p>
      <w:r>
        <w:t>Le litige porte sur le droit de la recourante à des prestations complémentaires pour l’année 2009, plus particulièrement sur la prise en compte, dans le calcul du revenu</w:t>
      </w:r>
    </w:p>
    <w:p>
      <w:r>
        <w:t>A/2874/2009 - 6/12 - déterminant, d’un montant représentant la part de fortune dont la recourante s’est dessaisie.</w:t>
      </w:r>
    </w:p>
    <w:p>
      <w:r>
        <w:rPr>
          <w:b/>
        </w:rPr>
        <w:t>E. 5</w:t>
      </w:r>
    </w:p>
    <w:p>
      <w:r>
        <w:t>a. En matière de prestations complémentaires fédérales, la LPC est entrée en vigueur le 1er janvier 2008. Elle a abrogé et remplacé l’ancienne LPC du 19 mars 1965. En l’espèce, le nouveau droit s’applique au cas d’espèce, dès lors que l’objet du litige porte sur les conséquences de la prise en compte d’un éventuel dessaisissement de revenu sur le droit aux prestations complémentaires à compter du 1er janvier 2009. b. En vertu de l'art. 4 LPC, les personnes qui ont leur domicile et leur résidence habituelle (art. 13 LPGA) en Suisse ont droit à des prestations complémentaires, dès lors qu’elles perçoivent, notamment, une rente vieillesse de l’AVS (al. 1 let. a). Le montant de la prestation complémentaire annuelle correspond à la part des dépenses reconnues qui excède les revenus déterminants (art. 9 al. 1 LPC). 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25'000 fr. pour les personnes seules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étant dès lors toujours applicable. d. La fortune prise en compte doit être évaluée selon les règles de la législation sur l’impôt cantonal direct du canton du domicile (art. 17 de l’ordonnance du 15 janvier 1971 sur les prestations complémentaires à l’assurance vieillesse, survivants et invalidité [OPC-AVS/AI ; RS 831.301]). Selon l’art. 17a OPC-AVS/AI,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Est déterminant pour le calcul de la prestation complémentaire annuelle le montant réduit de la fortune au 1er janvier de l’année pour laquelle la prestation est servie (al. 3).</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w:t>
      </w:r>
    </w:p>
    <w:p>
      <w:r>
        <w:t>A/2874/2009 - 7/12 - Selon l’art. 5 LPCC, dans sa teneur en vigueur depuis le 1er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w:t>
      </w:r>
    </w:p>
    <w:p>
      <w:r>
        <w:rPr>
          <w:b/>
        </w:rPr>
        <w:t>E. 11</w:t>
      </w:r>
    </w:p>
    <w:p>
      <w:r>
        <w:t>al. 1 let. c LPC, la part de fortune nette prise en compte dans le calcul du revenu déterminant est d’un cinquième pour les bénéficiaires de rentes de vieillesse (let. c). La fortune comprend la fortune mobilière et immobilière définie par la LPC et ses dispositions d’exécution et elle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(art. 7 LPC). 7. Il y a lieu ainsi de constater que tant au niveau fédéral qu'au niveau cantonal, le produit de la fortune mobilière et immobilière ainsi que les ressources et parts de fortune dont un ayant droit s'est dessaisi sont pris en compte dans le calcul de la prestation complémentaire. a. Selon la jurisprudence rendue sous l'art. 3 al. 1 let. g aLPC, applicable en l’espèce, on parle de dessaisissement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ATF 123 V 35; ATF 121 V 205 consid. 4a, 117 V 289 consid. 2; WERLEN, Der Anspruch auf Ergänzungsleistungen und deren Berechnung, thèse Fribourg 1995, p. 157; SPIRA, Transmission de patrimoine et dessaisissement au sens de la loi fédérale sur les prestations complémentaires à l'AVS/AI [LPC], RSAS 1996, p. 210; pour une vue d'ensemble à ce sujet, voir FERRARI, Dessaisissement volontaire et prestations complémentaires à l'AVS/AI, in: RSAS 2002, p. 417ss). b.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et se limiter à examiner si le demandeur</w:t>
      </w:r>
    </w:p>
    <w:p>
      <w:r>
        <w:t>A/2874/2009 - 8/12 - dispose ou non des ressources nécessaires pour couvrir ses besoins vitaux dans une mesure appropriée et - sous réserve des restrictions découlant de la loi - ne pas se préoccuper des raisons de cette situation (cf. ATFA P 4/05 du 29 août 2005 consid. 5.3.1; VSI 1994 p. 225 s. consid. 3b; RCC 1990, p. 371 ; RCC 1992, p. 436). c. Le TFA a ainsi eu l’occasion de se pencher, dans un arrêt non publié K. du 10 mai 1983, sur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Selon le TFA, l’expérience de la vie enseignait qu’un tel comportement était fréquent dans des situations de ce genre et le législateur n’avait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L’assuré qui dépense sa fortune pour acquérir des biens de consommation ou pour améliorer son train de vie use en revanche de sa liberté personnelle et ne saurait tomber sous le coup de cette disposition. Le TFA a ainsi non seulement nié dans ce cas l’intention d’éluder la loi – encore exigée sous l’empire de l’ancien droit – mais également l’existence même d’un acte de renonciation important. De la même manière, le TFA a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 (RCC 1990, p. 371). Il en a été de même pour un assuré qui utilisait le capital reçu de son entreprise pour effectuer des acquisitions, augmenter son niveau de vie et s’offrir des voyages (ATF 115 V 352). On ne peut en revanche rien tirer de décisif de ces jugements pour le cas où l’argent a été dilapidé sans contre-prestation. C’est ainsi que le TFA a considéré qu’un assuré qui avait perdu son argent dans un casino, s’était livré à un dessaisissement de fortune parce qu’il avait dilapidé son argent librement sans obligation juridique et sans avoir reçu pour cela une contre-prestation économique adéquate (VSI 1994, p. 222). Le TFA a, dans le cas évoqué, relevé que l’assuré s’était contenté de prétendre qu’il avait perdu son argent au jeu sans donner plus de précisions, et qu’on pouvait aisément penser qu’il en avait fait un autre usage; il aurait pu s’en défaire sous forme de dons ou le placer secrètement ailleurs, deux usages qui entraîneraient la prise en compte de la somme en cause à des titres divers. Le TFA n’a ainsi pas voulu appliquer sa jurisprudence selon laquelle le droit régissant les prestations complémentaires ne contiendrait aucune base légale pour procéder à un « contrôle général du style de vie ».</w:t>
      </w:r>
    </w:p>
    <w:p>
      <w:r>
        <w:t>A/2874/2009 - 9/12 - Constitue également un dessaisissement de parts de fortune les versements à ses propres enfants, sans obligation juridique et contre-prestation adéquate (RCC 1992 p. 438 ; ATAS/1050/2004). A cet égard, le Tribunal fédéral a rappelé que s’il était certes compréhensible que des parents veuillent transmettre gratuitement leur patrimoine à leurs descendants, il n'en demeurait pas moins qu'un transfert de ce genre ne devait avoir pour conséquence d'obliger la collectivité publique à accorder des prestations complémentaires qu'elle n’aurait point dû allouer en cas d'aliénation à titre onéreux (arrêt du Tribunal fédéral des assurances du 21 juillet 2004, P 11/04). d. D’une façon générale, le TFA a précisé que l’on ne peut renoncer à rechercher les causes d’une diminution de fortune et se fonder sur la situation effective de l’assuré que lorsqu’il n’y a pas dessaisissement au sens de la loi. Il a cependant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P 4/05 du 29 août 2005 consid. 5.3.2; VSI 1994 p. 227 consid. 4b; VSI 1995, p. 176). Ainsi, le TFA a estimé que c'était à tort que la juridiction cantonale avait admis l'existence d'un montant de 50'000 fr. au titre des dépenses effectuées par une assurée pour son propre usage sur la foi des seules allégations de l'intéressée, la liste produite par celle-ci en cours de procédure ne contenant aucun justificatif. La juridiction cantonale avait en effet considéré ces dépenses comme établies, dès lors qu'aucun indice ne permettait de mettre en doute ses déclarations qui semblaient vraisemblables et qui n'avaient pas varié depuis le dépôt de la demande de prestations. Le TFA a jugé que ce point de vue était mal fondé. Il a rappelé à cet égard que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w:t>
      </w:r>
    </w:p>
    <w:p>
      <w:r>
        <w:t>A/2874/2009 - 10/12 - fait allégués ou envisageables, le juge doit, le cas échéant, retenir ceux qui lui paraissent les plus probables (ATF 126 V 360 consid. 5b, 125 V 195 consid. 2 et les références; cf. ATF 130 III 324 s. consid. 3.2 et 3.3). Or, la possibilité que les dépenses en cause aient été effectuées moyennant contre-prestation adéquate n'apparaissait pas plus probable que l'éventualité d'un autre usage puisque l'assurée aurait pu se défaire du montant en question sous forme de don ou le placer secrètement ailleurs, deux usages qui entraîneraient la prise en compte de ce montant à des titres divers. L'assurée n'ayant pas fourni les justificatifs nécessaires pour prouver ses dépenses devait supporter les conséquences de l'absence de preuves (ATFA P 4/05 du 29 août 2005 consid. 5.3.3). 8. a. En l'espèce, le SPC a constaté des diminutions de patrimoine non justifiées par des dépenses prouvées d’un montant total de 738'651 fr. (cf. décision querellée, p. 2). Pour y parvenir, l’intimé a notamment tenu compte des variations de fortune entre 1996 et 2008, y compris le produit net issu de la vente du terrain de Versoix en mars 2007, le compte de la recourante à la banque RAIFFEISEN, sur lequel ce montant avait été versé (cf. pièce 9 du SPC ), laissant apparaître au 31 décembre 2007 une fortune de 63'071 fr. 40 (pièce 6 du SPC). Il a aussi tenu compte des besoins annuels de la recourante (loyer, caisse-maladie) non couverts par sa rente AVS et par le produit de sa fortune. Enfin, l’intimé a procédé à la réduction de 10'000 fr. par année selon les modalités de l’art. 17a OPC-AVS/AI, ce qui n’est pas non plus litigieux. b. La recourante ne conteste pas le calcul du SPC et aucun élément du dossier ne permet du reste de s’en écarter. Elle allègue en revanche avoir employé ses avoirs à venir en aide à son petit-fils, notamment en finançant sa formation de pilote et en payant une partie de ses dettes. La recourante a produit un certain nombre de documents dans le but d’en faire la démonstration. Elle a ainsi fourni le curriculum vitae de son petit-fils, un résumé de l’expérience professionnelle de ce dernier, une estimation du coût de sa formation de pilote, les devis obtenus d’écoles de pilotage et des échanges de mails de 1999 en relation avec une formation en Afrique pour obtenir l’équivalence de la licence de pilote suisse. Elle a également produit une liste des poursuites de son petit fils. c. En application de la jurisprudence rappelée ci-dessus, il convient d’abord d’observer que le fait d’utiliser sa fortune pour venir en aide à son petit-fils, notamment pour lui payer la formation de pilote et régler ses dettes, constitue bel et bien un dessaisissement, car ces donations n’ont pas été faites moyennant contre- prestations adéquates ni à titre d’obligation alimentaire (art. 328 CCS). En d’autres termes, même si la recourante avait procédé à une donation en bonne et due forme, cela n’aurait rien changé du point de vue des prestations complémentaires, une donation étant précisément l’instrument par lequel l’on dépense sans contre- prestation.</w:t>
      </w:r>
    </w:p>
    <w:p>
      <w:r>
        <w:t>A/2874/2009 - 11/12 - En tout état de cause, les documents produits par la recourante ne sont pas susceptibles de prouver qu’elle aurait employé tout ou partie des sommes dépensées moyennant contre-prestation. Il n’y a en particulier au dossier aucun justificatif d’une quelconque dépense (factures, relevés de cartes de crédit, quittances, etc.) susceptible de démontrer qu’elle aurait notamment voyagé en Afrique ou aux Etats- Unis pour rendre visite à ses petits-enfants, comme elle l’affirmait dans son courrier du 19 mars 2009. Dans ces conditions, le Tribunal de céans ne peut que confirmer que c’est à juste titre que l’intimé a pris en considération le capital dépensé par la recourante sans contre-partie pour calculer son droit aux prestations. Le SPC était en conséquence fondé à tenir compte des montants auxquels l'ont conduit ses calculs et à considérer que l'assurée s'en est dessaisie sans avoir reçu en échange une contre-prestation équivalente. Il en va de même s'agissant du produit hypothétique de cette fortune. Selon la jurisprudence en effet, celle-ci est censée produire un revenu qui doit être porté en compte lors du calcul du revenu déterminant (ATF 123 V 37). 9. En tous points mal fondé, le recours ne peut qu’être rejeté.</w:t>
      </w:r>
    </w:p>
    <w:p>
      <w:r>
        <w:t>A/2874/2009 - 12/12 -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