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ATAS/597/2020 vom 14. Juli 2020</w:t>
      </w:r>
    </w:p>
    <w:p>
      <w:r>
        <w:t>GE Cour de justice, 2020-07-14, FR</w:t>
      </w:r>
    </w:p>
    <w:p>
      <w:r>
        <w:rPr>
          <w:b/>
        </w:rPr>
        <w:t xml:space="preserve">Quelle: </w:t>
      </w:r>
      <w:r>
        <w:t>https://mcp.opencaselaw.ch/entscheid/ge_gerichte_ATAS_597_2020</w:t>
      </w:r>
    </w:p>
    <w:p>
      <w:r>
        <w:t>FR: GE_GERICHTE ATAS/597/2020 du 14 juillet 2020</w:t>
      </w:r>
    </w:p>
    <w:p>
      <w:r>
        <w:t>IT: GE_GERICHTE ATAS/597/2020 del 14 luglio 2020</w:t>
      </w:r>
    </w:p>
    <w:p>
      <w:pPr>
        <w:pStyle w:val="Heading2"/>
      </w:pPr>
      <w:r>
        <w:t>Erwägungen</w:t>
      </w:r>
    </w:p>
    <w:p>
      <w:r>
        <w:rPr>
          <w:b/>
        </w:rPr>
        <w:t>E. 6</w:t>
      </w:r>
    </w:p>
    <w:p>
      <w:r>
        <w:t>L’assuré fait enfin valoir que la caisse ne serait pas l’autorité compétente pour traiter son cas. Or, les personnes sans activité lucrative sont en règle générale affiliées à la caisse de compensation du canton de leur domicile (art. 118 al. 1, 1ère phrase RAVS ; Directives sur les cotisations des travailleurs indépendants et des personnes sans activité lucrative dans l’AVS, Al et APG (DIN), n° 2047, 2048 et 2056), à l’exception des conjoints ou les partenaires enregistrés sans activité lucrative qui adhèrent à l'assurance au sens de l'art. 1a al. 4 let. c LAVS, des assurés à la retraite anticipée et leurs conjoints ou partenaires enregistrés sans activité lucrative soumis à cotisations, des étudiants sans activité lucrative, des membres de communautés religieuses, des détenus et les internés.</w:t>
      </w:r>
    </w:p>
    <w:p>
      <w:r>
        <w:t>A/256/2020 - 7/8 - Le recensement des personnes sans activité lucrative est du reste une tâche qui incombe en principe aux caisses cantonales de compensation. Il y a ainsi lieu de confirmer que l’assuré, soumis à cotisations AVS-AI en tant que non-actif, doit bel et bien être affilié à la caisse.</w:t>
      </w:r>
    </w:p>
    <w:p>
      <w:r>
        <w:rPr>
          <w:b/>
        </w:rPr>
        <w:t>E. 7</w:t>
      </w:r>
    </w:p>
    <w:p>
      <w:r>
        <w:t>L'art. 61 let. a LPGA prévoit que la procédure doit être simple, rapide, en règle générale publique, ainsi que gratuite pour les parties, des émoluments de justice et les frais de procédure peuvent toutefois être mis à la charge de la partie qui agit de manière téméraire ou témoigne de légèreté. L'art. 89H al. 1 de la loi sur la procédure administrative du 12 septembre 1985 (LPA – E 5 10) prévoit également que les débours et un émolument peuvent être mis à la charge de la partie qui agit de manière téméraire ou témoigne de légèreté.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287 consid. 3b et les références citées).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(SVR 2004 EL n. 2 p. 5 ; arrêt du Tribunal fédéral des assurances I 1026/06 du 6 juin 2007 consid. 7.1).</w:t>
      </w:r>
    </w:p>
    <w:p>
      <w:r>
        <w:rPr>
          <w:b/>
        </w:rPr>
        <w:t>E. 8</w:t>
      </w:r>
    </w:p>
    <w:p>
      <w:r>
        <w:t>En l'espèce, force est de constater que l’assuré a soulevé les mêmes questions et fait valoir les mêmes arguments dans la précédente procédure, à l'issue de laquelle il n'a pas obtenu gain de cause. Ce nonobstant, il a persisté à interjeter recours, puis à le maintenir, auprès de la chambre de céans, quand bien même il a été expressément avisé du risque de se voir infliger une amende pour plaideur téméraire lors de l’audience du 23 juin 2020. La chambre de céans renonce toutefois en l’état à le condamner au paiement d’une telle amende, considérant que ses démarches s’expliquent très certainement par les atteintes à la santé dont il souffre (ATAS/1138/2007). Cela étant, si l’assuré venait à recourir à nouveau en reprenant les arguments sur lesquels la chambre de céans s’est déjà prononcée, il n’est pas exclu qu’une amende lui soit alors infligée.</w:t>
      </w:r>
    </w:p>
    <w:p>
      <w:r>
        <w:t>A/256/2020 - 8/8 -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