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ATAS/597/2017 vom 30. Juni 2017</w:t>
      </w:r>
    </w:p>
    <w:p>
      <w:r>
        <w:t>GE Cour de justice, 2017-06-30, FR</w:t>
      </w:r>
    </w:p>
    <w:p>
      <w:r>
        <w:rPr>
          <w:b/>
        </w:rPr>
        <w:t xml:space="preserve">Quelle: </w:t>
      </w:r>
      <w:r>
        <w:t>https://mcp.opencaselaw.ch/entscheid/ge_gerichte_ATAS_597_2017</w:t>
      </w:r>
    </w:p>
    <w:p>
      <w:r>
        <w:t>FR: GE_GERICHTE ATAS/597/2017 du 30 juin 2017</w:t>
      </w:r>
    </w:p>
    <w:p>
      <w:r>
        <w:t>IT: GE_GERICHTE ATAS/597/2017 del 30 giugno 2017</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le droit de la recourante à des prestations de la part de l’assurance-accidents suite à l’évènement du 24 octobre 2014 jusqu’au 30 avril 2015, terme de son arrêt de travail.</w:t>
      </w:r>
    </w:p>
    <w:p>
      <w:r>
        <w:rPr>
          <w:b/>
        </w:rPr>
        <w:t>E. 5</w:t>
      </w:r>
    </w:p>
    <w:p>
      <w:r>
        <w:t>Se pose en premier lieu la question de savoir si l’évènement en question peut être qualifié d'accident ou être assimilé à un accident. L’intimée ne semble plus le contester véritablement mais a tout de même laissé la question ouverte.</w:t>
      </w:r>
    </w:p>
    <w:p>
      <w:r>
        <w:t>A/4320/2015 - 9/15 -</w:t>
      </w:r>
    </w:p>
    <w:p>
      <w:r>
        <w:rPr>
          <w:b/>
        </w:rPr>
        <w:t>E. 6</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7</w:t>
      </w:r>
    </w:p>
    <w:p>
      <w:r>
        <w:t>a) L’art. 6 al. 2 LAA a conféré au Conseil fédéral la compétence d’étendre la prise en charge par l’assurance-accidents à des lésions assimilables à un accident. Aux termes de l'art.</w:t>
      </w:r>
    </w:p>
    <w:p>
      <w:r>
        <w:rPr>
          <w:b/>
        </w:rPr>
        <w:t>E. 9</w:t>
      </w:r>
    </w:p>
    <w:p>
      <w:r>
        <w:t>En l’occurrence, dans la mesure où l’on est en présence d’une fracture-tassement - c'est-à-dire d’une fracture où l’os s’impacte sur lui-même plutôt que d’exploser, selon les explications du Dr E______ -, il y a lésion assimilable à un accident. L’existence d’une cause extérieure est également donnée, dans la mesure où l’assurée a fait un mouvement de torsion involontaire en cherchant à retenir la brouette qu’elle manipulait. Le Dr D______ en convient d’ailleurs. Il y a dès lors lieu de retenir que l’évènement constitue bel et bien un accident.</w:t>
      </w:r>
    </w:p>
    <w:p>
      <w:r>
        <w:rPr>
          <w:b/>
        </w:rPr>
        <w:t>E. 10</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w:t>
      </w:r>
    </w:p>
    <w:p>
      <w:r>
        <w:t>A/4320/2015 - 12/15 - provoqué l'atteinte à la santé physique ou psychique de l'assuré, c'est-à-dire qu'il se présente comme la condition sine qua non de celle-ci. b. Tel est le cas en l’espèce. Il n’est pas contesté que la recourante souffre d’une ostéoporose qui a pu jouer un rôle dans l’apparition de la fracture-tassement en L3. Il n’en demeure pas moins que, de l’avis de son médecin-traitant comme du Dr E______, la lésion mise en évidence à l’IRM est compatible avec l’évènement et la présence d’un œdème démontre qu’elle est apparue à un moment coïncidant avec l’évènement en question. À cet égard, on relèvera que l’argument selon lequel les douleurs ne seraient pas apparues immédiatement tombe à faut : le médecin traitant a en effet confirmé que la recourante l’a consulté pour des douleurs lombaires moins d’une semaine après l’accident, en mentionnant celui-ci. Il est donc erroné de retenir qu’elle n’aurait consulté que trois mois après l’accident. Il est également erroné d’affirmer que seul le Dr E______ conclut à une fracture récente. Le médecin traitant concluait dans le même sens début 2015 déjà, tout comme le radiologue, dans son rapport du 28 janvier 2015. Le Dr F______ soulignait en effet dans ses conclusions que le tassement de D3 (recte : L3, pour preuve, comparaison avec le corps du texte du rapport) était récent mais datait d’au moins six semaines. Le médecin traitant a expliqué pour sa part que l’œdème intra- spongieux en L3 révélé par l’IRM de janvier 2015 constituait le signe évident et la preuve irréfutable d’un événement récent. Ses explications quant à la distinction entre fractures anciennes et nouvelles sont à cet égard convaincantes. Elles sont d’ailleurs corroborées par celles du Dr E______, qui motive la grande vraisemblance qu’il attribue à la relation de causalité encore la fracture-tassement du plateau inférieur de L3 et l’accident du 24 octobre 2014 par la présence de l’œdème périfracturaire au niveau de L3, mais également par l’apparition immédiate des douleurs décrite par l’assurée (là encore niée à tort par l’intimée ainsi que les enquêtes l’ont démontré) et, le fait qu’elle a consulté son médecin quatre jours plus tard (et non pas seulement trois mois plus tard, comme allégué par l’intimée). Contrairement à celles du médecin traitant et du Dr E______, les conclusions du Dr D______ apparaissent peu convaincantes car guère motivées, si ce n’est par la préexistence de lésions dégénératives, dont il ne soutient d’ailleurs pas que ce serait la nature de la fracture de L3. Qui plus est, ses conclusions sont fondées sur des prémisses erronées : celle que l’assurée n’aurait consulté qu’en janvier 2015 seulement - ce qui a été contredit par le témoignage de son médecin traitant -, celle que l’incapacité de travail ne serait survenue que bien des mois plus tard - alors que l’assurée s’est expliquée des raisons qui l’ont poussée à continuer son activité en dépit de tout. Sur ce point, ses allégations ont été corroborées par son médecin traitant qui a expliqué que l’assurée, qui souffre depuis plusieurs année d’une fracture pathologique post-radique des ailerons sacrés - est relativement habituée à ressentir une gêne et des douleurs lombaires basses, ce qui a pu l’amener à</w:t>
      </w:r>
    </w:p>
    <w:p>
      <w:r>
        <w:t>A/4320/2015 - 13/15 - minimiser les douleurs et la symptomatologie apparue après l’événement. S’y ajoutaient les circonstances particulières liées à l’état de santé de son employeur. Eu égard aux considérations qui précèdent, on peut admettre l’existence d’un lien de causalité naturelle, étant rappelé qu’en présence d'une atteinte à la santé physique, le problème de la causalité adéquate ne se pose guère, car l'assureur- 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2004 consid. 4.2 ; arrêt du Tribunal fédéral des assurances U 220/02 du 6 août 2003 consid. 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t>A/4320/2015 - 14/15 - d. En l’espèce, tant le médecin traitant que le Dr E______ considèrent que le statu quo sine a été atteint à six - huit mois de l’évènement, la symptomatologie douloureuse persistant par la suite pouvant s’expliquer également par les troubles dégénératifs et les fractures pathologiques sacro-iliaques. Au demeurant, le médecin traitant a attesté d’une reprise du travail au 1er mai 2015, soit six mois après l’accident. On rappellera qu’en présence d’une lésion assimilable à un accident, il convient de reconnaitre l’existence d’un lien de causalité aussi longtemps que l’origine maladive ou dégénérative ne peut être tenue pour manifeste. Eu égard aux considérations qui précèdent, il convient d’admettre que l’intimée aurait dû prendre en charge les suites de l’accident jusqu’au 30 avril 2015, terme de l’arrêt de travail, étant rappelé que la recourante a été rémunérée jusqu’à fin février 2015. En ce sens, le recours est admis.</w:t>
      </w:r>
    </w:p>
    <w:p>
      <w:r>
        <w:t>A/4320/2015 - 15/15 -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