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ATAS/596/2023 vom 11. August 2023</w:t>
      </w:r>
    </w:p>
    <w:p>
      <w:r>
        <w:t>GE Cour de justice, 2023-08-11, FR</w:t>
      </w:r>
    </w:p>
    <w:p>
      <w:r>
        <w:rPr>
          <w:b/>
        </w:rPr>
        <w:t xml:space="preserve">Quelle: </w:t>
      </w:r>
      <w:r>
        <w:t>https://mcp.opencaselaw.ch/entscheid/ge_gerichte_ATAS_596_2023</w:t>
      </w:r>
    </w:p>
    <w:p>
      <w:r>
        <w:t>FR: GE_GERICHTE ATAS/596/2023 du 11 août 2023</w:t>
      </w:r>
    </w:p>
    <w:p>
      <w:r>
        <w:t>IT: GE_GERICHTE ATAS/596/2023 del 11 agosto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En vertu de l’art. 58 al. 2 LPGA, si l'assuré ou une autre partie sont domiciliés à l'étranger, le tribunal des assurances compétent est celui du canton de leur dernier domicile en Suisse ou celui du canton de domicile de leur dernier employeur suisse. En l’espèce, le recourant, domicilié en France, a travaillé en dernier lieu pour un employeur situé à Genève. La compétence de la chambre de céans pour juger du cas d’espèce est ainsi établie.</w:t>
      </w:r>
    </w:p>
    <w:p>
      <w:r>
        <w:rPr>
          <w:b/>
        </w:rPr>
        <w:t>E. 1.2</w:t>
      </w:r>
    </w:p>
    <w:p>
      <w:r>
        <w:t>Interjeté dans la forme et le délai prévus par la loi, le recours est recevable (art. 56 ss LPGA, applicable par le renvoi de l’art. 1 al. 1 LAA ; art. 62 ss et 89A de la loi sur la procédure administrative du 12 septembre 1985 [LPA - E 5 10]).</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L'objet du litige porte sur le droit du recourant à une rente d'invalidité et le taux de l'indemnité pour atteinte à l'intégrité.</w:t>
      </w:r>
    </w:p>
    <w:p>
      <w:r>
        <w:rPr>
          <w:b/>
        </w:rPr>
        <w:t>E. 3.3</w:t>
      </w:r>
    </w:p>
    <w:p>
      <w:r>
        <w:t>et les références). Aussi n’existe-t-il pas, en droit des assurances sociales, un principe selon lequel l’administration ou le juge devrait statuer, dans le doute, en faveur de l’assuré (ATF 135 V 39 consid. 6. 1 et la référence).</w:t>
      </w:r>
    </w:p>
    <w:p>
      <w:r>
        <w:rPr>
          <w:b/>
        </w:rPr>
        <w:t>E. 4</w:t>
      </w:r>
    </w:p>
    <w:p>
      <w:r>
        <w:t>octobre 2011 consid. 3.2 et 8C_384/2009 du 5 janvier 2010 consid. 4.2.1 in SVR 2010 UV n° 18 p. 69). Pour admettre un lien de causalité naturelle, il n'est pas déterminant que le diagnostic ait été posé dans les six à huit semaines après l’accident, mais que sur la base de constatations médicales fournies en temps réel, on puisse conclure que durant cette période de latence l'assuré a souffert au moins en partie des symptômes typiques de ce diagnostic. La causalité naturelle peut également être admise si le syndrome fait suite à une opération en lien avec l'accident (arrêt du Tribunal fédéral 8C_27/2019 du 20 août 2019 consid. 6.4.2 et les références citées).</w:t>
      </w:r>
    </w:p>
    <w:p>
      <w:r>
        <w:rPr>
          <w:b/>
        </w:rPr>
        <w:t>E. 4.1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142 V 219 consid. 4.3.1 et les références). La responsabilité de l’assureur-accidents s’étend, en principe, à toutes les conséquences dommageables qui se trouvent dans un rapport de causalité naturelle (ATF 129 V 177 consid. 3.1 et les références; 129 V 402 consid. 4.3.1 et les références) et adéquate avec l’événement assuré (ATF 129 V 177 consid. 3.2 et la référence; 129 V 402 consid. 2.2 et les références).</w:t>
      </w:r>
    </w:p>
    <w:p>
      <w:r>
        <w:t>A/3434/2022 - 8/23 -</w:t>
      </w:r>
    </w:p>
    <w:p>
      <w:r>
        <w:rPr>
          <w:b/>
        </w:rPr>
        <w:t>E. 4.2</w:t>
      </w:r>
    </w:p>
    <w:p>
      <w:r>
        <w:t>Les notions de syndrome douloureux régional complexe (CRPS - Complex regional pain syndrome en anglais), algodystrophie ou maladie de Suedeck appartiennent aux maladies neurologiques, orthopédiques et traumatologiques et constituent ainsi une atteinte à la santé physique, respectivement corporelle (arrêt du Tribunal fédéral 8C_955/2008 du 29 avril 2009 consid. 6).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et une courte période de latence entre l'accident et l'apparition de l'algodystrophie, soit au maximum six à huit semaines (arrêts du Tribunal fédéral 8C_871/2010 du</w:t>
      </w:r>
    </w:p>
    <w:p>
      <w:r>
        <w:rPr>
          <w:b/>
        </w:rPr>
        <w:t>E. 4.3</w:t>
      </w:r>
    </w:p>
    <w:p>
      <w:r>
        <w:t>Si l'assuré est invalide (art. 8 LPGA) à 10 % au moins par suite d’un accident, il a droit à une rente d'invalidité, pour autant que l’accident soit survenu avant l’âge ordinaire de la retraite (art. 18 al. 1 LAA, dans sa teneur en vigueur à compter du 1er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Selon l'art. 7 LPGA, est réputée incapacité de gain toute diminution de l'ensemble ou d'une partie des possibilités de gain de l'assuré sur le marché du travail</w:t>
      </w:r>
    </w:p>
    <w:p>
      <w:r>
        <w:t>A/3434/2022 - 9/23 -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 de plus, il n'y a incapacité de gain que si celle-ci n'est pas objectivement surmontable (al. 2).</w:t>
      </w:r>
    </w:p>
    <w:p>
      <w:r>
        <w:rPr>
          <w:b/>
        </w:rPr>
        <w:t>E. 4.4</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arrêt du Tribunal fédéral 8C_39/2020 du 19 juin 2020 consid. 3.2 et les références).</w:t>
      </w:r>
    </w:p>
    <w:p>
      <w:r>
        <w:rPr>
          <w:b/>
        </w:rPr>
        <w:t>E. 4.5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w:t>
      </w:r>
    </w:p>
    <w:p>
      <w:r>
        <w:t>A/3434/2022 - 10/23 -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142 V 58 consid. 5.1 et les références; 139 V 225 consid. 5.2 et les références; 135 V 465 consid. 4.4 et les références). En effet, si la jurisprudence a reconnu la</w:t>
      </w:r>
    </w:p>
    <w:p>
      <w:r>
        <w:t>A/3434/2022 - 11/23 -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135 V 465 consid. 4.6).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125 V 351 consid. 3b/cc). S'il est vrai que la relation particulière de confiance unissant un patient et son médecin traitant peut influencer l'objectivité ou l'impartialité de celui-ci (cf. ATF 125 V 351 consid. 3a 52;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126 V 353 consid. 5b et les références; 125 V 193 consid. 2 et les références; 130 III 321 consid. 3.2 et</w:t>
      </w:r>
    </w:p>
    <w:p>
      <w:r>
        <w:rPr>
          <w:b/>
        </w:rPr>
        <w:t>E. 4.7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w:t>
      </w:r>
    </w:p>
    <w:p>
      <w:r>
        <w:t>A/3434/2022 - 12/23 -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5</w:t>
      </w:r>
    </w:p>
    <w:p>
      <w:r>
        <w:t>En l'espèce, la chambre de céans relève que les différentes appréciations du Dr I______, médecin d'arrondissement de la CNA reposent sur l'étude du dossier médical complet du recourant qu'il a examiné personnellement les 15 avril 2021 et 4 mars 2022. Il ressort des rapports médicaux établis suite à ces deux examens que les plaintes de l'intéressé ont été prises en considération par le Dr I______ et que ce dernier y a consigné de manière claire son appréciation du cas, notamment l'évolution et la stabilisation de l'état de santé du recourant, ses limitations fonctionnelles, ainsi que l'évaluation de sa capacité de travail dans son activité habituelle et dans une activité adaptée.</w:t>
      </w:r>
    </w:p>
    <w:p>
      <w:r>
        <w:rPr>
          <w:b/>
        </w:rPr>
        <w:t>E. 5.1</w:t>
      </w:r>
    </w:p>
    <w:p>
      <w:r>
        <w:t>Dans ses écritures, le recourant conteste l'appréciation du Dr I______, selon laquelle la capacité de travail est entière (100%) dans une activité adaptée aux limitations fonctionnelles, sans limitation de temps, ni de rendement. Il estime qu'une expertise judiciaire est nécessaire afin d'évaluer sa capacité de travail, en faisant valoir, en premier lieu, que le Dr I______ aurait omis de prendre en considération le CRPS qualifié de « très handicapant » par le Dr G______ dans son rapport du 8 février 2021. Selon l'intimée, ce syndrome n'a plus été mentionné dans le rapport ultérieur de la Dre H______ du 25 juin 2021 et, malgré le fait que cette même spécialiste ait mentionné ce syndrome dans son rapport du 29 octobre 2021, il devait s'agir d'une erreur dès lors qu'il ressort de ce même rapport que « le status est superposable » au contrôle du 25 juin 2021. L'intimée relève par ailleurs que la Dre J______, dont le rapport du 17 octobre 2022 a été produit à l'appui du recours, n'a aucunement fait état dudit syndrome. Il ressort des pièces du dossier que le Dr G______ avait, en date du 30 novembre 2020, écarté l'existence d'un syndrome douloureux régional complexe indiquant que le recourant s'était plaint d'un « changement de coloration de D5, devenant bleu », sans qu'il n'y ait toutefois « d'autre signe pour un CRPS (notamment, pas d'hypersudation, ni d'alternance chaud/froid) ». Dans son rapport suivant, établi en date du 8 février 2021, ce même spécialiste a cette fois retenu un CRPS, relevant que, suite à la cure de doigts à ressaut D4 et D5 intervenue au mois de juillet 2020, l'évolution était « défavorable, avec le développement d'un syndrome douloureux régional complexe, très handicapant pour le patient […] ». Il n'a toutefois aucunement motivé ce diagnostic, ni analysé les critères posés par la jurisprudence (cf. consid. 4.2 ci-dessus). En outre, à teneur de ce même rapport, le Dr G______ a, de manière contradictoire, souligné l'importance que représentait une reconversion professionnelle pour le recourant qui était</w:t>
      </w:r>
    </w:p>
    <w:p>
      <w:r>
        <w:t>A/3434/2022 - 13/23 - « volontaire pour une reprise d'une activité professionnelle et qui bénéficierait sans aucun doute d'un programme de reconversion ». Ce plaidoyer en faveur d'une reconversion professionnelle apparaît ainsi peu compatible avec un CRPS qualifié de très handicapant, de sorte qu'il convient de douter de la force probante de l'avis médical du Dr G______ sur ce point. Il est en outre relevé qu'à teneur du rapport de la Dre H______ du 25 juin 2021, la présence d'un syndrome douloureux régional complexe a été expressément écartée au motif que le recourant avait noté « une amélioration ce jour », étant en mesure de passer le rouleau ou les pinceaux sans problèmes. Il présentait toutefois des douleurs essentiellement en fin de journée quand il rentrait du stage d'aide-peintre. La présence du syndrome susvisé a certes été mentionné dans le rapport suivant de la Dre H______ daté du 29 octobre 2021, mais n'a toutefois pas été motivée par cette dernière qui n'a pas non plus analysé les critères jurisprudentiels s'y rapportant. Il est en outre relevé que la Dre H______ n'a, au demeurant, suggéré aucun traitement visant à remédier au syndrome susmentionné. La chambre de céans constate donc que l'appréciation médicale de cette dernière apparaît manifestement contradictoire, et donc dénuée de force probante, dès lors que cette spécialiste a également mentionné, dans ce même rapport, le « status quo » à titre de synthèse médicale clinique, précisant que le status était « superposable au dernier contrôle », soit le contrôle du 25 juin 2021 lors duquel la présence d'un syndrome douloureux régional complexe avait expressément été écartée. Il est au surplus constaté, à la lecture du rapport de la Dre J______ du 17 octobre 2022, qu'il n'y est aucunement fait mention d'un syndrome douloureux régional complexe. Au surplus, la chambre de céans relèvera que l'état de santé du recourant n'a été considéré comme stabilisé qu'à partir du 4 mars 2022 (cf. rapport du Dr I______ du 8 mars 2022), ce que le recourant ne conteste pas. Il sied donc de constater que, tant la mention du CRPS retenue par le Dr G______ dans son rapport du 8 février 2021, que celle retenue − manifestement par erreur − par la Dre H______ dans son rapport du 29 octobre 2021, ont été retenues alors que l'état de santé du recourant n'était pas encore stabilisé. Eu égard à ce qui précède, la chambre de céans retiendra que les conclusions des docteurs G______ et H______ quant à la présence d'un CRPS ne sont pas de nature à remettre en cause l'appréciation médicale du Dr I______. Le premier argument du recourant tombe donc à faux.</w:t>
      </w:r>
    </w:p>
    <w:p>
      <w:r>
        <w:rPr>
          <w:b/>
        </w:rPr>
        <w:t>E. 5.2</w:t>
      </w:r>
    </w:p>
    <w:p>
      <w:r>
        <w:t>Dans un deuxième moyen, le recourant conteste les conclusions du Dr I______ au motif que celui-ci n'aurait pas pris en considération les douleurs lombaires basses itératives desquelles il s'était plaint lors de l'examen médical du 4 mars 2022. Lors de cet examen médical, le recourant a déclaré être en stage de réorientation en qualité de peintre et prendre le pinceau avec la main droite en utilisant trois doigts. Il a en outre indiqué qu'il travaillait et portait essentiellement avec le membre supérieur gauche et que ce déséquilibre entrainait des douleurs lombaires</w:t>
      </w:r>
    </w:p>
    <w:p>
      <w:r>
        <w:t>A/3434/2022 - 14/23 - basses itératives (cf. rapport du Dr I______ du 8 mars 2022, p. 5). Invité par l'intimée à apprécier l'éventuel lien de causalité entre les douleurs lombaires ainsi exprimées par le recourant et l'accident survenu le 27 février 2020, le Dr I______ a indiqué que « s'agissant d'un monotraumatisme, l'atteinte lombaire basse décrite par le recourant, dont la survenance est très distante de celui-ci, on doit considérer que la causalité naturelle entre ce symptôme et le traumatisme qui nous concerne est tout au plus possible » (cf. rapport du Dr I______ du 3 mai 2022). Le médecin- conseil de l'intimée a ainsi expliqué de manière claire et convaincante la raison pour laquelle les douleurs lombaires mises en évidence par le recourant en mars 2022 n'étaient pas en relation de causalité naturelle avec l'accident du 27 février 2020. L'argumentation du Dr I______ n'a, au demeurant, pas été critiquée par la Dre J______ qui n'a aucunement mentionné ces douleurs lombaires dans son rapport du 17 octobre 2022. Par conséquent, le second argument du recourant tombe également à faux.</w:t>
      </w:r>
    </w:p>
    <w:p>
      <w:r>
        <w:rPr>
          <w:b/>
        </w:rPr>
        <w:t>E. 5.3</w:t>
      </w:r>
    </w:p>
    <w:p>
      <w:r>
        <w:t>Dans un troisième moyen, le recourant fait valoir que le Dr I______ n'a pas tenu compte des effets secondaires itératifs importants dus au traitement antidouleur. En l'occurrence, dans son recours, l'assuré se limite à se plaindre sur ce point, sans le justifier. Or, il apparaît, au vu du dossier, que les effets secondaires itératifs que fait valoir le recourant ne sont attestés par aucune pièce médicale. Il ressort des pièces du dossier qu'au mois de novembre 2020, le recourant avait rapporté au Dr G______ des douleurs neurogènes et que la prise de Dafalgan avait un effet antalgique discret. Le médecin des HUG avait alors suggéré la poursuite de la prise de Dafalgan et n'avait constaté aucun effet secondaire itératif dû à la prise du traitement antidouleur (cf. rapport du Dr G______ du 30 novembre 2020). Dans son rapport suivant, daté du 8 février 2021, ce médecin n'a relevé aucun effet secondaire dû au traitement antidouleur. Il ressort en outre du rapport faisant suite à un entretien téléphonique entre le recourant et une représentante de l'intimée, en date du 19 février 2021, que celui-ci était suivi régulièrement par l'Unité de la douleur des HUG et que le médecin de la douleur avait augmenté les doses des médicaments antidouleurs, sans qu'il ne soit fait mention d'effets secondaires itératifs. Par ailleurs, selon une note téléphonique du 26 mai 2021, le recourant a informé l'intimée que le docteur K______, médecin anesthésiologie aux HUG, lui avait remis une prescription pour trois mois, lui indiquant qu'il n'était plus nécessaire de le voir et qu'il devait désormais s'adresser à un médecin traitant en Suisse pour continuer la prescription du traitement. Dans ces circonstances, il apparaît, au degré de la vraisemblance prépondérante, que le recourant n'avait fait part d'aucun effet secondaire dû au traitement antidouleur. La Dre H______ a en outre indiqué, dans son rapport du 25 juin 2021, que le recourant avait noté une amélioration « ce jour » et que le traitement était à nouveau de « prégabaline 2 x 100 mg/jour +/- Dafalgan et Irfen au besoin ». Il présentait des douleurs essentiellement en fin de</w:t>
      </w:r>
    </w:p>
    <w:p>
      <w:r>
        <w:t>A/3434/2022 - 15/23 - journée et prenait alors du Dafalgan ou de l'Irfen qui avaient « un bon effet ». La spécialiste a également relevé que le Dr K______ avait augmenté la posologie de Lyrica et que ce traitement avait eu « un bon effet sur les paresthésies qui [avaient] diminué ». Il est ainsi constaté que la Dre H______ n'a aucunement fait état d'effets secondaires itératifs dus au traitement antidouleur. Cela ne ressort pas non plus de son rapport du 29 octobre 2021, celle-ci ayant au contraire indiqué que le recourant ressentait certes des douleurs à la suite de son activité de peintre en bâtiment, mais que celles-ci répondaient bien à la prise de Dafalgan ou d'Irfen qui avaient un bon effet. Il ne ressort pas non plus du rapport du Dr I______ du 8 mars 2022 que le recourant se serait plaint d'effets secondaires itératifs dus au traitement antidouleur, ce spécialiste ayant suggéré, concernant le traitement futur, de poursuivre la posologie (cf. rapport du Dr I______ du 8 mars 2022, p. 7). En outre, à teneur du rapport de la Dre J______ du 17 octobre 2022, le recourant s'est plaint de « douleurs chroniques, persistantes, insomniantes de la main et bras droit avec paresthésies », sans que la spécialiste n'atteste toutefois d'effets secondaires itératifs dus au traitement antidouleur. Enfin, invité à se prononcer sur ce rapport, le Dr I______ a relevé que le traitement préconisé par cette dernière (« Paracétamol + opium + caféine 300 mg/10 mg/30 mg gélule (Lamaline) ») était déjà connu lors de l'examen du 4 mars 2022 et qu'il ne s'agissait pas d'une nouvelle prescription, ces médicaments ayant déjà été pris à la place du Dafalgan, tel que cela ressortait d'ailleurs de son rapport du 8 mars 2022 (cf. rapports du Dr I______ du 8 mars 2022, p. 5 et du 7 décembre 2022, p. 2). Eu égard à ce qui précède, force est de constater qu'aucun médecin n'a attesté des effets secondaires itératifs que fait valoir le recourant à l'appui de son recours. Ce dernier échoue ainsi à apporter la preuve de ce que le Dr I______ aurait omis de prendre en considération les effets secondaires dus au traitement antidouleur allégués par le recourant.</w:t>
      </w:r>
    </w:p>
    <w:p>
      <w:r>
        <w:rPr>
          <w:b/>
        </w:rPr>
        <w:t>E. 5.4</w:t>
      </w:r>
    </w:p>
    <w:p>
      <w:r>
        <w:t>Au vu de ce qui précède, la chambre de céans retiendra que les éléments invoqués par le recourant et les rapports des médecins des HUG et de la Dre J______ ne présentent aucun élément concret permettant de douter des conclusions du Dr I______, dûment motivées et convaincantes. En particulier, la chambre de céans relèvera que le recourant s'est limité à contester la capacité de travail résiduelle dans une activité adaptée en concluant à ce que son droit à la rente et son degré d'invalidité soient réévalués « à la hausse » et à ce qu'une rente d'invalidité, « calculée sur la base d'un taux d'invalidité d'à tout le moins 70% », lui soit allouée (cf. mémoire de recours, p. 2). Ces conclusions ne sont toutefois motivées par aucun élément médical concret, de sorte que la chambre de céans considère que le taux d'invalidité « d'à tout le moins 70% » avancé par le recourant n'est pas établi. Au vu de ce qui précède, il convient de retenir que l'état de santé du recourant est stabilisé depuis le 8 mars 2022 avec une incapacité de travail totale dans l'activité</w:t>
      </w:r>
    </w:p>
    <w:p>
      <w:r>
        <w:t>A/3434/2022 - 16/23 - habituelle de manœuvre et une capacité de travail entière dans une activité adaptée aux limitations fonctionnelles, sans limitation de temps, ni de rendement.</w:t>
      </w:r>
    </w:p>
    <w:p>
      <w:r>
        <w:rPr>
          <w:b/>
        </w:rPr>
        <w:t>E. 6</w:t>
      </w:r>
    </w:p>
    <w:p>
      <w:r>
        <w:t>Il convient à présent d'examiner le droit à la rente du recourant.</w:t>
      </w:r>
    </w:p>
    <w:p>
      <w:r>
        <w:rPr>
          <w:b/>
        </w:rPr>
        <w:t>E. 6.1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6.1.1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135 V 297 consid. 5.1 et les références;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w:t>
      </w:r>
    </w:p>
    <w:p>
      <w:r>
        <w:rPr>
          <w:b/>
        </w:rPr>
        <w:t>E. 6.1.2</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w:t>
      </w:r>
    </w:p>
    <w:p>
      <w:r>
        <w:t>A/3434/2022 - 17/23 - exigible, le revenu d'invalide peut être évalué sur la base de salaires fondés sur les données statistiques résultant de l'Enquête suisse sur la structure des salaires (ESS) (ATF 148 V 174 consid. 6.2; 139 V 592 consid. 2.3; 135 V 297 consid. 5.2). Aux fins de déterminer le revenu d'invalide, le salaire fixé sur cette base peut à certaines conditions faire l'objet d'un abattement de 25 % au plus (ATF 148 V 174 consid. 6.3; 129 V 472 consid. 4.2.3; 126 V 75 consid. 5b/aa-cc ; 8C_580/2022 du 31 mars 2023 consid. 3.1.2).</w:t>
      </w:r>
    </w:p>
    <w:p>
      <w:r>
        <w:rPr>
          <w:b/>
        </w:rPr>
        <w:t>E. 6.2</w:t>
      </w:r>
    </w:p>
    <w:p>
      <w:r>
        <w:t>En l'occurrence, l'intimée s'est fondée sur les informations communiquées par l'employeur pour déterminer le gain de valide du recourant. Ainsi, le gain de valide correspond au revenu concret de l'assuré pour 2020, lequel serait resté identique pour l'année 2021 selon la déclaration écrite de l'employeur (cf. pièce 109 intimée), soit un montant de CHF 62'767.-. Quant au gain d'invalide, l'intimée s'est référée au tableau TA1_tirage_sill_level de l'ESS 2018, relatif au salaire versé en 2018 à un homme dans le secteur privé, avec un niveau de compétence 1, correspondant à des tâches physiques ou manuelles simples et ne nécessitant aucune formation particulière. Ce revenu a ensuite été ajusté en fonction de la moyenne des heures travaillées en Suisse et de l'indexation des salaires nominaux. Enfin, l'intimée a appliqué un taux d'abattement de 5% pour tenir compte des limitations fonctionnelles, de sorte que le gain d'invalide a été arrêté à CHF 65'608.-. Dans ses conclusions, le recourant se contente de solliciter la réévaluation de son droit à une rente d'invalidité calculée sur la base d'un taux d'invalidité d'à tout le moins 70%. Il ne précise cependant pas quels éléments retenus par l'intimée pour le calcul du gain de valide et du gain d'invalide l'auraient été de manière erronée. Il n’y a donc pas lieu de s’écarter des chiffres retenus par l'intimée, de sorte que le calcul effectué par cette dernière sera confirmé.</w:t>
      </w:r>
    </w:p>
    <w:p>
      <w:r>
        <w:rPr>
          <w:b/>
        </w:rPr>
        <w:t>E. 7</w:t>
      </w:r>
    </w:p>
    <w:p>
      <w:r>
        <w:t>Reste à examiner le taux d'abattement retenu par l'intimée.</w:t>
      </w:r>
    </w:p>
    <w:p>
      <w:r>
        <w:rPr>
          <w:b/>
        </w:rPr>
        <w:t>E. 7.1</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(ATF 146 V 16 consid. 4.2; 137 V 71 consid. 5.1), notamment en retenant des critères inappropriés, en ne tenant pas compte de circonstances pertinentes, en ne procédant pas à un examen complet des circonstances pertinentes ou en n'usant pas de critères objectifs (ATF 135 III</w:t>
      </w:r>
    </w:p>
    <w:p>
      <w:r>
        <w:t>A/3434/2022 - 18/23 - 179 consid. 2.1; 130 III 176 consid. 1.2 ; 8C_580/2022 du 31 mars 2023 consid. 3.1.4). S'agissant en particulier des limitations liées à l'impossibilité partielle ou complète d'utiliser une main, la pratique retient qu'un abattement de 20 à 25% est adapté pour les assurés qui ne peuvent utiliser leur main dominante que de manière très limitée, par exemple comme membre « d'appoint » pour l'autre main (arrêts du Tribunal fédéral 8C_58/2018 du 7 août 2018 consid. 5.3 ; 9C_363/2017 du 22 juin 2018 consid. 4.3 et 8C_971/2008 du 23 mars 2009 consid. 4.2.6.2). Ainsi, le Tribunal fédéral a admis une déduction de 15% pour une assurée capable de travailler à 100% en n'utilisant sa main droite que pour saisir des objets en raison d'une amputation des trois derniers doigts, sans autres facteurs de réduction (arrêt du Tribunal fédéral des assurances U 101/00 du 26 juillet 2002 consid. 2c). Il a considéré qu'une réduction de 10% se justifiait dans la situation d'un assuré présentant des limitations pour tenir des objets (arrêt du Tribunal fédéral des assurances U 122/05 du 30 août 2005 consid. 5.3.2). Le handicap d'une assurée ayant eu la main droite écrasée par une presse, capable d'exercer une activité légère dans différents secteurs de l'industrie à condition de ne pas trop mettre sa main droite à contribution, a justifié une réduction de 10% (arrêt du Tribunal fédéral 8C_88/2014 du 10 septembre 2014 consid. 3.4). C'est également un abattement de 10% qu'a confirmé le Tribunal fédéral pour un assuré souffrant d'une pseudarthrose du scaphoïde, en mesure d'utiliser son poignet et sa main gauche dans une activité légère ne sollicitant pas excessivement le poignet et la main en terme de force et de manutention de charges (arrêt du Tribunal fédéral 9C_633/2016 du 28 décembre 2016 consid. 5.3). Notre Haute Cour a réduit à 10% l'abattement du revenu d'invalide d'un assuré droitier éprouvant des difficultés à fléchir trois doigts de la main gauche et apte à exercer une activité adaptée à plein temps sans diminution de rendement (arrêt du Tribunal fédéral 8C_471/2017 du 16 avril 2018 consid. 5.3). Une déduction de 15% a été considérée comme appropriée dans le cas d'un assuré entravé dans l'utilisation de la main droite dominante et devant éviter des mouvements rotatifs de la main et de l'avant-bras, âgé de 55 ans au moment du début du droit à la rente (ATF 129 V 472 consid. 4.3.2), de même que pour une assurée apte à travailler à 100% dans une activité légère en n'utilisant son bras et sa main gauches qu'en soutien (arrêt du Tribunal fédéral des assurances I 766/02 du 7 juin 2004 consid. 2.3).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 Angemessenheits- 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w:t>
      </w:r>
    </w:p>
    <w:p>
      <w:r>
        <w:t>A/3434/2022 - 19/23 - son résultat. À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l'arrêt cité ; 8C_580/2022 du 31 mars 2023 consid 3.1.5).</w:t>
      </w:r>
    </w:p>
    <w:p>
      <w:r>
        <w:rPr>
          <w:b/>
        </w:rPr>
        <w:t>E. 7.2</w:t>
      </w:r>
    </w:p>
    <w:p>
      <w:r>
        <w:t>En l'espèce, sur la base des conclusions du Dr I______, l'intimée a retenu que le recourant était à même d'exercer une activité adaptée, à temps plein, n'exigeant pas le port répété de charges supérieures à 5-10 kg, ni de travaux nécessitant de la force en préhension. Il ne pouvait pas non plus exercer une activité nécessitant d'effectuer régulièrement des mouvements fins, mais pouvait toutefois exercer des travaux sans mouvement imposant de la force et d'importantes amplitudes du poignet droit. L'intimée a ainsi considéré qu'un taux d'abattement de 5% était justifié au vu de ces limitations qui n'étaient ni nombreuses, ni particulièrement handicapantes et limitées aux doigts D4 et D5 de la main droite, « lesquels rempliss[aient] une fonction moins importante que les autres doigts » (cf. décision querellée, p. 8). Il ressort toutefois de l'appréciation médicale du Dr I______ et de l'analyse de l'intimée qu'il n'a pas été tenu compte du fait que le recourant est droitier et que son atteinte à la santé concerne précisément les doigts D4 et D5 de sa main droite, soit sa main dominante. Certes, le recourant ne se trouve pas dans la situation d'une personne entièrement privée de l'usage d'une main et peut se servir de sa main droite, malgré les restrictions quant à certains mouvements. On peut toutefois se demander s'il ne conviendrait pas, en application de la jurisprudence mentionnée supra, d'opérer un abattement de 10%, voire de 15%, dans le cas d'espèce. Cette question peut cependant rester ouverte, puisque même en tenant compte d'un abattement de 10% ou de 15%, le taux d'invalidité reste insuffisant pour ouvrir le droit à la rente. En effet, même à retenir un abattement de 15%, le taux d’invalidité serait inférieur à 10% (CHF 69'061.50 – CHF 10'359.- = CHF 58'702.50, ce qui correspond à un taux d’invalidité de 6.5%). Enfin, la chambre de céans relèvera que, conformément à la jurisprudence applicable, ni l'âge du recourant, ni sa nationalité française ou son statut de frontalier, ne constituent des facteurs susceptibles de jouer un rôle significatif sur ses perspectives salariales, s'agissant d'activités simples et répétitives de niveau de compétence 1 (ATF 146 V 16 consid. 7.2.1 ; 8C_610/2017 du 3 avril 2018 consid. 4.4). C'est donc à juste titre que l'intimée ne les a pas pris en considération pour déterminer le taux d'abattement applicable au cas d'espèce.</w:t>
      </w:r>
    </w:p>
    <w:p>
      <w:r>
        <w:rPr>
          <w:b/>
        </w:rPr>
        <w:t>E. 7.3</w:t>
      </w:r>
    </w:p>
    <w:p>
      <w:r>
        <w:t>Au vu de l’ensemble de ces éléments, il appert que c'est à juste titre que le droit à une rente d'invalidité a été nié au recourant.</w:t>
      </w:r>
    </w:p>
    <w:p>
      <w:r>
        <w:rPr>
          <w:b/>
        </w:rPr>
        <w:t>E. 8</w:t>
      </w:r>
    </w:p>
    <w:p>
      <w:r>
        <w:t>Reste à examiner l'indemnité pour atteinte à l'intégrité.</w:t>
      </w:r>
    </w:p>
    <w:p>
      <w:r>
        <w:t>A/3434/2022 - 20/23 -</w:t>
      </w:r>
    </w:p>
    <w:p>
      <w:r>
        <w:rPr>
          <w:b/>
        </w:rPr>
        <w:t>E. 8.1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w:t>
      </w:r>
    </w:p>
    <w:p>
      <w:r>
        <w:rPr>
          <w:b/>
        </w:rPr>
        <w:t>E. 8.2</w:t>
      </w:r>
    </w:p>
    <w:p>
      <w:r>
        <w:t>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125 II 169 consid. 2d).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w:t>
      </w:r>
    </w:p>
    <w:p>
      <w:r>
        <w:t>A/3434/2022 - 21/23 - un ou plusieurs accidents, l'indemnité pour atteinte à l'intégrité est fixée d'après l'ensemble du dommage (al. 3, 1ère phrase).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des assurances U 134/03 du 12 janvier 2004 consid. 5.2).</w:t>
      </w:r>
    </w:p>
    <w:p>
      <w:r>
        <w:rPr>
          <w:b/>
        </w:rPr>
        <w:t>E. 8.3</w:t>
      </w:r>
    </w:p>
    <w:p>
      <w:r>
        <w:t>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 La Division médicale de la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4.cc ; 116 V 156 consid. 3).</w:t>
      </w:r>
    </w:p>
    <w:p>
      <w:r>
        <w:rPr>
          <w:b/>
        </w:rPr>
        <w:t>E. 8.4</w:t>
      </w:r>
    </w:p>
    <w:p>
      <w:r>
        <w:t>En l'espèce, l'intimée s'est fondée sur les conclusions du Dr I______ pour retenir une atteinte à l'intégrité de 10%.</w:t>
      </w:r>
    </w:p>
    <w:p>
      <w:r>
        <w:t>A/3434/2022 - 22/23 - Ce spécialiste a estimé que l'atteinte à l'intégrité était de 10% en application de la table 3 d'indemnisation de la CNA relative aux atteintes à l'intégrité résultant de la perte d'un ou plusieurs segments des membres supérieurs. Cette table d'indemnisation prévoit, à son chiffre 41, un taux de 10% pour une atteinte aux doigts 4 et 5. Le Dr I______ a ainsi procédé à une application par analogie du chiffre 41 dès lors que, dans le cas d'espèce, il n'y avait pas eu d'amputation des deux derniers doigts, qu'il s'agissait d'une estimation par analogie d'une atteinte fonctionnelle concernant essentiellement les doigts 4 et 5 sur les interphalangiennes distales et qu'il fallait ainsi considérer qu'il existait une fonction résiduelle de ces deux doigts. Pour ces motifs, il était justifié d'appliquer le chiffre 41 (prévoyant un taux d'atteinte à l'intégrité de 10%), plutôt que le chiffre 40 (qui prévoit un taux d'atteinte à l'intégrité de 5% en cas d'absence d'atteinte interphalangienne distale) ou le chiffre 42 (applicable en cas d'atteinte globale et complète à ces deux doigts, y compris aux deux articulations, prévoyant un taux d'atteinte à l'intégrité de 15% ; cf. rapport complémentaire du Dr I______ du 13 septembre 2022 ; Table 3 d'indemnisation de la CNA relative aux atteintes à l'intégrité résultant de la perte d'un ou plusieurs segments des membres supérieurs, édition 2000, pp. 5-6). Dans ses écritures, le recourant se limite à conclure à ce que son atteinte à l'intégrité soit réévaluée à la hausse et que l'indemnité y relative soit augmentée en conséquence. Il ne motive toutefois pas cette conclusion et ne produit aucun élément médical à l'appui de celle-ci. Force est ainsi de constater que le taux de l'indemnité pour atteinte à l'intégrité retenue par le Dr I______ dans son rapport du 8 mars 2022, qui repose à juste titre sur le chiffre 41 de la table 3 d'indemnisation de la CNA, n'a pas lieu d'être revu à la hausse. Par conséquent, la décision de l'intimée en tant qu'elle alloue au recourant une indemnité pour atteinte à l'intégrité d'un montant de CHF 14'820.-, sur la base d'une atteinte à l'intégrité de 10%, sera confirmée sur ce point. En conclusion, la chambre de céans retiendra que le recourant n'a pas apporté les éléments de preuve à même de jeter un doute sur la valeur probante des rapports du Dr I______ et que la mise en œuvre d'une expertise judiciaire n'apparaît pas nécessaire, de sorte qu'il n'y sera pas donné suite par appréciation anticipée des preuves (ATF 122 II 464 consid. 4a).</w:t>
      </w:r>
    </w:p>
    <w:p>
      <w:r>
        <w:rPr>
          <w:b/>
        </w:rPr>
        <w:t>E. 9</w:t>
      </w:r>
    </w:p>
    <w:p>
      <w:r>
        <w:t>Au vu de ce qui précède, le recours est rejeté. Le recourant, vu l'issue du litige, ne peut prétendre à une indemnité à titre de dépens (art. 61 let. g LPGA a contrario). Pour le surplus, la procédure est gratuite (art. 61 let. fbis LPGA a contrario).</w:t>
      </w:r>
    </w:p>
    <w:p>
      <w:r>
        <w:t>***</w:t>
      </w:r>
    </w:p>
    <w:p>
      <w:r>
        <w:t>A/3434/2022 - 23/23 -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