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ATAS/596/2020 vom 14. Juli 2020</w:t>
      </w:r>
    </w:p>
    <w:p>
      <w:r>
        <w:t>GE Cour de justice, 2020-07-14, FR</w:t>
      </w:r>
    </w:p>
    <w:p>
      <w:r>
        <w:rPr>
          <w:b/>
        </w:rPr>
        <w:t xml:space="preserve">Quelle: </w:t>
      </w:r>
      <w:r>
        <w:t>https://mcp.opencaselaw.ch/entscheid/ge_gerichte_ATAS_596_2020</w:t>
      </w:r>
    </w:p>
    <w:p>
      <w:r>
        <w:t>FR: GE_GERICHTE ATAS/596/2020 du 14 juillet 2020</w:t>
      </w:r>
    </w:p>
    <w:p>
      <w:r>
        <w:t>IT: GE_GERICHTE ATAS/596/2020 del 14 luglio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la forme et le délai prévus par la loi, compte tenu de la suspension des délais pendant la période du 18 décembre au 2 janvier inclusivement (art. 38 al. 4 let. c LPGA et art. 89C let. c LPA), et du report au lundi 6 janvier 2020 de l'échéance dudit délai tombée sur le samedi 4 janvier 2020 (art. 38 al. 3 LPGA), le recours est recevable (art. 56 ss LPGA et 62 ss LPA).</w:t>
      </w:r>
    </w:p>
    <w:p>
      <w:r>
        <w:t>A/7/2020 - 16/28 -</w:t>
      </w:r>
    </w:p>
    <w:p>
      <w:r>
        <w:rPr>
          <w:b/>
        </w:rPr>
        <w:t>E. 4</w:t>
      </w:r>
    </w:p>
    <w:p>
      <w:r>
        <w:t>Le litige porte sur le droit du recourant à une rente d’invalidité et à une mesure d'ordre professionnel.</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w:t>
      </w:r>
    </w:p>
    <w:p>
      <w:r>
        <w:t>A/7/2020 - 17/28 - le DSM-IV (ATF 143 V 409 consid. 4.5.2 et 141 V 281 consid. 2.2 et 3.2; arrêt du Tribunal fédéral 8C_841/2016 du 30 novembre 2017 consid. 4.5.2). Dans sa jurisprudence récente (ATF 143 V 409 consid. 4.5 et ATF 143 V 418 consid. 6 et 7 du 30 novembre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aux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 cf. ATAS/676/2019 du 26 juillet 2019 consid. 10a ; ATAS/856/2019 du</w:t>
      </w:r>
    </w:p>
    <w:p>
      <w:r>
        <w:rPr>
          <w:b/>
        </w:rPr>
        <w:t>E. 12</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w:t>
      </w:r>
    </w:p>
    <w:p>
      <w:r>
        <w:t>A/7/2020 - 24/28 -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w:t>
      </w:r>
    </w:p>
    <w:p>
      <w:r>
        <w:rPr>
          <w:b/>
        </w:rPr>
        <w:t>E. 17</w:t>
      </w:r>
    </w:p>
    <w:p>
      <w:r>
        <w:t>Au vu de ce qui précède, le recours, mal fondé, sera rejeté.</w:t>
      </w:r>
    </w:p>
    <w:p>
      <w:r>
        <w:rPr>
          <w:b/>
        </w:rPr>
        <w:t>E. 18</w:t>
      </w:r>
    </w:p>
    <w:p>
      <w:r>
        <w:t>Bien que la procédure ne soit pas gratuite en matière d'assurance-invalidité (art. 69 al. 1bis LAI), il convient de renoncer à la perception d'un émolument, le recourant étant au bénéfice de l'assistance juridique (art. 13 al. 1 du règlement sur les frais, émoluments et indemnités en procédure administrative du 30 juillet 1986 [RFPA - E 5 10.03]).</w:t>
      </w:r>
    </w:p>
    <w:p>
      <w:r>
        <w:t>A/7/2020 - 28/28 -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