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ATAS/595/2020 vom 14. Juli 2020</w:t>
      </w:r>
    </w:p>
    <w:p>
      <w:r>
        <w:t>GE Cour de justice, 2020-07-14, FR</w:t>
      </w:r>
    </w:p>
    <w:p>
      <w:r>
        <w:rPr>
          <w:b/>
        </w:rPr>
        <w:t xml:space="preserve">Quelle: </w:t>
      </w:r>
      <w:r>
        <w:t>https://mcp.opencaselaw.ch/entscheid/ge_gerichte_ATAS_595_2020</w:t>
      </w:r>
    </w:p>
    <w:p>
      <w:r>
        <w:t>FR: GE_GERICHTE ATAS/595/2020 du 14 juillet 2020</w:t>
      </w:r>
    </w:p>
    <w:p>
      <w:r>
        <w:t>IT: GE_GERICHTE ATAS/595/2020 del 14 luglio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L’assuré a saisi la chambre de céans d’un recours pour déni de justice.</w:t>
      </w:r>
    </w:p>
    <w:p>
      <w:r>
        <w:rPr>
          <w:b/>
        </w:rPr>
        <w:t>E. 3</w:t>
      </w:r>
    </w:p>
    <w:p>
      <w:r>
        <w:t>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w:t>
      </w:r>
    </w:p>
    <w:p>
      <w:r>
        <w:t>A/4675/2019 - 4/5 -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Il convient en l’espèce de rappeler préalablement que par son arrêt du 6 novembre 2018 (ATAS/1030/2018), la chambre de céans avait rejeté le recours interjeté par l’assuré pour déni de justice. Elle avait toutefois pris acte de ce que l’assureur avait proposé, dans ses écritures du 15 juin 2018, sans préjudice et sans reconnaissance d’une obligation légale, de verser à l’assuré la somme de CHF 2'000.- pour solde de tout compte et l’y avait condamné en tant que de besoin, et de ce que l’assureur avait demandé, par courrier adressé à l’office des poursuites le 26 février 2018, la radiation de l’acte de défaut de biens n° 07 241076 P. L’assuré a confirmé, lors de sa comparution du 23 juin 2020, que l’assureur lui avait versé la somme de CHF 2'000.- et que la poursuite qui avait été dirigée contre lui avait été radiée. Il y a ainsi lieu de constater que l’assureur a, contrairement à ce que soutient l’assuré, correctement donné suite à l’arrêt du 6 novembre 2018. On ne comprend à cet égard pas, dans ces conditions, que l’assureur ait jugé utile, dans son courrier du 3 juillet 2020, de démontrer qu’il avait bel et bien versé à l’assuré la somme de CHF 2'000.-.</w:t>
      </w:r>
    </w:p>
    <w:p>
      <w:r>
        <w:rPr>
          <w:b/>
        </w:rPr>
        <w:t>E. 5</w:t>
      </w:r>
    </w:p>
    <w:p>
      <w:r>
        <w:t>L’assuré reproche à l’assureur de ne pas s’être exprimé sur la question de la franchise annuelle ramenée au montant minimum de CHF 300.-, sur demande du service de l’assurance-maladie (SAM), du fait qu’il est au bénéfice du subside d’assurance-maladie (art. 65 al. 1 LAMal). Il souhaiterait qu’une franchise plus élevée lui soit appliquée afin de voir le montant de sa prime d’assurance-maladie diminué en contrepartie. Il est vrai que dans le cadre de la procédure dont l’issue a été son arrêt du</w:t>
      </w:r>
    </w:p>
    <w:p>
      <w:r>
        <w:rPr>
          <w:b/>
        </w:rPr>
        <w:t>E. 6</w:t>
      </w:r>
    </w:p>
    <w:p>
      <w:r>
        <w:t>novembre 2018, la chambre de céans avait déjà pris connaissance du courrier du SAM du 9 octobre 2009, et l’assureur avait déjà eu l’occasion de se déterminer sur la question du montant de la franchise. Force est toutefois de constater qu’il n’a pas rendu de décision à cet égard, de sorte que son inaction constitue clairement un déni de justice. L’assureur est en conséquence invité à notifier à l’assuré une décision relative au montant de la franchise, ce dans les meilleurs délais.</w:t>
      </w:r>
    </w:p>
    <w:p>
      <w:r>
        <w:t>A/4675/2019 - 5/5 -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