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ATAS/594/2021 vom 10. Juni 2021</w:t>
      </w:r>
    </w:p>
    <w:p>
      <w:r>
        <w:t>GE Cour de justice, 2021-06-10, FR</w:t>
      </w:r>
    </w:p>
    <w:p>
      <w:r>
        <w:rPr>
          <w:b/>
        </w:rPr>
        <w:t xml:space="preserve">Quelle: </w:t>
      </w:r>
      <w:r>
        <w:t>https://mcp.opencaselaw.ch/entscheid/ge_gerichte_ATAS_594_2021</w:t>
      </w:r>
    </w:p>
    <w:p>
      <w:r>
        <w:t>FR: GE_GERICHTE ATAS/594/2021 du 10 juin 2021</w:t>
      </w:r>
    </w:p>
    <w:p>
      <w:r>
        <w:t>IT: GE_GERICHTE ATAS/594/2021 del 10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w:t>
      </w:r>
    </w:p>
    <w:p>
      <w:r>
        <w:rPr>
          <w:b/>
        </w:rPr>
        <w:t>E. 2</w:t>
      </w:r>
    </w:p>
    <w:p>
      <w:r>
        <w:t>La LMC ne contenant aucune norme de renvoi, la LPGA n’est pas applicable s’agissant des prestations complémentaires cantonales (cf. art. 1er et 2 LPGA).</w:t>
      </w:r>
    </w:p>
    <w:p>
      <w:r>
        <w:rPr>
          <w:b/>
        </w:rPr>
        <w:t>E. 3</w:t>
      </w:r>
    </w:p>
    <w:p>
      <w:r>
        <w:t>Interjeté dans les délai et forme prescrits par la loi, le recours est recevable (art. 49 al. 3 LMC et art. 89A de la loi de procédure administrative du 12 septembre 1985, LPA – E 5 10).</w:t>
      </w:r>
    </w:p>
    <w:p>
      <w:r>
        <w:rPr>
          <w:b/>
        </w:rPr>
        <w:t>E. 4</w:t>
      </w:r>
    </w:p>
    <w:p>
      <w:r>
        <w:t>Le litige porte sur le droit de la recourante au versement de prestations complémentaires cantonales en cas de maladie, particulièrement sur la question de savoir si les causes de son incapacité de travail sont antérieures à son inscription au chômage, subsidiairement si elle peut bénéficier de la clause de rigueur.</w:t>
      </w:r>
    </w:p>
    <w:p>
      <w:r>
        <w:rPr>
          <w:b/>
        </w:rPr>
        <w:t>E. 5</w:t>
      </w:r>
    </w:p>
    <w:p>
      <w:r>
        <w:t>Au niveau cantonal,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Enfin, selon l'art. 14 al. 2 LMC, un délai d'attente de cinq jours ouvrables est applicable lors de chaque demande de prestations. À teneur de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w:t>
      </w:r>
    </w:p>
    <w:p>
      <w:r>
        <w:t>A/482/2021 - 4/5 - Sont considérés comme des cas de rigueur : a) la grossesse ; b) l’incapacité de travail intervenant après une période de chômage de trois mois minimum durant laquelle l’aptitude au placement de l’assuré a été constaté et si le refus de prestations devait le placer dans une situation financière difficile (art. 14B du règlement d’exécution de la loi en matière de chômage (RMC ; J 2 20.01).</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la recourante ne conteste pas que les causes de son incapacité de travail à partir du décembre 2019 présentent un lien avec les incapacités antérieures. Au demeurant, la dernière incapacité de 100% attestée a débuté avant le début du délai-cadre d’indemnisation sollicité pour le 2 décembre 2019. Par ailleurs, on ne se trouve manifestement pas dans un cas de rigueur tel que défini par le règlement cantonal en matière de chômage. Quant à l’évocation de la crise sanitaire, elle est totalement dénuée de pertinence. Le recours, manifestement infondé, est rejeté.</w:t>
      </w:r>
    </w:p>
    <w:p>
      <w:r>
        <w:t>A/482/2021 - 5/5 -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