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ATAS/594/2017 vom 30. Juni 2017</w:t>
      </w:r>
    </w:p>
    <w:p>
      <w:r>
        <w:t>GE Cour de justice, 2017-06-30, FR</w:t>
      </w:r>
    </w:p>
    <w:p>
      <w:r>
        <w:rPr>
          <w:b/>
        </w:rPr>
        <w:t xml:space="preserve">Quelle: </w:t>
      </w:r>
      <w:r>
        <w:t>https://mcp.opencaselaw.ch/entscheid/ge_gerichte_ATAS_594_2017</w:t>
      </w:r>
    </w:p>
    <w:p>
      <w:r>
        <w:t>FR: GE_GERICHTE ATAS/594/2017 du 30 juin 2017</w:t>
      </w:r>
    </w:p>
    <w:p>
      <w:r>
        <w:t>IT: GE_GERICHTE ATAS/594/2017 del 30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recours est recevable (art. 56 à 61 LPGA).</w:t>
      </w:r>
    </w:p>
    <w:p>
      <w:r>
        <w:rPr>
          <w:b/>
        </w:rPr>
        <w:t>E. 3</w:t>
      </w:r>
    </w:p>
    <w:p>
      <w:r>
        <w:t>Le litige porte sur le bien-fondé du rejet de la nouvelle demande de la recourante. En d’autres termes, la question est de savoir si l’état de l’assurée s’est modifié depuis le 4 novembre 2008 - date de la première décision de l’intimé - au point de lui ouvrir droit aux prestations de l’assurance-invalidité.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A/981/2014 - 16/24 -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rPr>
          <w:b/>
        </w:rPr>
        <w:t>E. 6</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w:t>
      </w:r>
    </w:p>
    <w:p>
      <w:r>
        <w:t>A/981/2014 - 17/24 -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7</w:t>
      </w:r>
    </w:p>
    <w:p>
      <w:r>
        <w:t>Les observations médicales constituent le point de départ de l’examen du droit à la rente conformément aux art. 4 al. 1 LAI et 6 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À cet égard, le Tribunal fédéral a émis l’avis que le diagnostic de syndrome douloureux somatoforme persistant était sans doute posé nettement trop fréquemment. En conséquence, les experts doivent le justifier de manière à ce que les personnes chargées d’appliquer le droit puissent vérifier que les critères de classification ont effectivement été observés. La « plainte essentielle » doit concerner « une douleur persistante, intense, s’accompagnant d’un sentiment de détresse ». Le diagnostic d’un syndrome douloureux somatoforme suppose par définition des atteintes aux fonctions utiles à la gestion de la vie quotidienne. Enfin, selon la CIM-10 (F45.4), « le trouble assure habituellement au patient une aide et une sollicitude accrues de la part de son entourage et des médecins » (arrêt op. cit., consid. 2.1.2). Les experts doivent donc donner des explications quant au diagnostic, afin d’établir le caractère de maladie, mais également les atteintes concrètes des fonctions nécessaires à la gestion du quotidien, lesquelles seront aussi reprises dans l’estimation de la capacité de travail. À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w:t>
      </w:r>
    </w:p>
    <w:p>
      <w:r>
        <w:t>A/981/2014 - 18/24 - consid. 2.1.2 ; ATF 140 V 290 consid. 3.3.1, p. 296 et consid. 3.3.2 au début, p. 297).</w:t>
      </w:r>
    </w:p>
    <w:p>
      <w:r>
        <w:rPr>
          <w:b/>
        </w:rPr>
        <w:t>E. 8</w:t>
      </w:r>
    </w:p>
    <w:p>
      <w:r>
        <w:t>Le diagnostic du syndrome douloureux somatoforme persistant basé sur les concepts du système médical de classification n’amenant à constater une importante atteinte à la santé relevant du droit de l’assurance-invalidité que si le diagnostic est valable également du point de vue des motifs d’exclusion cités dans l’ATF 131 V 49, il conviendra également que les experts se prononcent sur l’existence ou non de ceux-ci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9</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w:t>
      </w:r>
    </w:p>
    <w:p>
      <w:r>
        <w:rPr>
          <w:b/>
        </w:rPr>
        <w:t>E. 10</w:t>
      </w:r>
    </w:p>
    <w:p>
      <w:r>
        <w:t>La nouvelle approche préconisée par le Tribunal fédéral entraîne des adaptations dans la formulation des indicateurs et un certain élargissement matériel des aspects déterminants de l’examen. S’il est ainsi possible de se baser sur la liste de critères</w:t>
      </w:r>
    </w:p>
    <w:p>
      <w:r>
        <w:t>A/981/2014 - 19/24 -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w:t>
      </w:r>
    </w:p>
    <w:p>
      <w:r>
        <w:rPr>
          <w:b/>
        </w:rPr>
        <w:t>E. 11</w:t>
      </w:r>
    </w:p>
    <w:p>
      <w:r>
        <w:t>a. Le premier indicateur mentionné est celui de « l’expression des éléments pertinents pour le diagnostic et des symptômes ». À cet égard, on attend des experts que leurs constatations relatives aux manifestations concrètes de l’atteinte à la santé diagnostiquée permettent de distinguer les limitations fonctionnelles qui résultent de l’atteinte des conséquences (directes) de facteurs non assurés. Le point de départ est le degré de gravité minimal inhérent au diagnostic. C’est dans ce cadre qu’il convient d’examiner, par exemple, s’il y a exagération sans qu’il faille a priori exclure de ce fait une atteinte à la santé significative sur le plan juridique. b. Le second indicateur mentionné est le succès du traitement ou la résistance à cet égard, c’est-à-dire l’évolution et le résultat des thérapies. c.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Une dépression ne perd plus toute signification en tant que facteur d’affaiblissement potentiel des ressources du seul fait de sa connexité médicale (éventuelle) avec le trouble douloureux. Toutefois, les tableaux cliniques qui apparaissent comme de simples variantes de la même entité dans des qualifications différentes sur le plan diagnostique sur la base de symptômes identiques ne constituent d’emblée pas une comorbidité. Sinon, l’atteinte à la santé pouvant être qualifiée et décrite de plusieurs manières serait évaluée à double. d. À ces trois premiers indicateurs concernant le degré de gravité fonctionnel de l’atteinte à la santé, s’ajoute un quatrième, relatif à la personnalité.</w:t>
      </w:r>
    </w:p>
    <w:p>
      <w:r>
        <w:t>A/981/2014 - 20/24 - En effet, du fait de la prise en compte renforcée des ressources, le complexe de la personnalité (développement et structure de la personnalité, fonctions psychiques fondamentales) gagne en importance. Cela recouvre non seulement les formes classiques du diagnostic de la personnalité - qui vise à saisir la structure et les troubles de la personnalité -, mais également le concept de ce qu’on appelle les « fonctions complexes du Moi » - qui désigne les capacités inhérentes à la personnalité. Il s’agit de tirer des déductions sur la capacité de travail (conscience de soi et de l’autre, épreuve de réalité et la formation du jugement, contrôle des affects et des impulsions, capacité à se référer à un objet, motivation, notamment) et de clarifier les répercussions fonctionnelles de l’atteinte à la santé. e. Enfin, le contexte social, qui influence aussi la manière dont se manifestent concrètement les effets de l’atteinte à la santé, constitue un cinquième indicateur.</w:t>
      </w:r>
    </w:p>
    <w:p>
      <w:r>
        <w:rPr>
          <w:b/>
        </w:rPr>
        <w:t>E. 12</w:t>
      </w:r>
    </w:p>
    <w:p>
      <w:r>
        <w:t>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L’ancien critère du retrait social doit être interprété de telle sorte qu’il ne se réfère pas qu’à des limitations mais concerne aussi les ressources ; à l’inverse, un retrait conditionné par une maladie peut cependant aussi diminuer encore les ressources. Il est recommandé d’effectuer aussi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Tel n’est toutefois le cas que si le comportement en question n’est pas influencé par la procédure en cours en matière d’assurance. Il ne faut pas conclure à l’absence de lourdes souffrances lorsqu’il est clair que le refus ou la mauvaise acceptation d’une thérapie recommandée et accessible doit être attribué à une incapacité (inévitable) de la personne assurée à reconnaître sa maladie. De manière similaire, il faut tenir compte du comportement de la personne assurée dans le cadre de sa réadaptation professionnelle (et de ses propres efforts de réadaptation) : un comportement manquant de cohérence est, là aussi, un indice que la limitation alléguée serait due à d’autres raisons qu’une atteinte à la santé assurée (arrêt op. cit. consid 4.4.2).</w:t>
      </w:r>
    </w:p>
    <w:p>
      <w:r>
        <w:rPr>
          <w:b/>
        </w:rPr>
        <w:t>E. 13</w:t>
      </w:r>
    </w:p>
    <w:p>
      <w:r>
        <w:t>Selon le principe de libre appréciation des preuves, pleinement valable en procédure judiciaire de recours dans le domaine des assurances sociales (cf. art. 61</w:t>
      </w:r>
    </w:p>
    <w:p>
      <w:r>
        <w:t>A/981/2014 - 21/24 -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t>A/981/2014 - 22/24 -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w:t>
      </w:r>
    </w:p>
    <w:p>
      <w:r>
        <w:rPr>
          <w:b/>
        </w:rPr>
        <w:t>E. 14</w:t>
      </w:r>
    </w:p>
    <w:p>
      <w:r>
        <w:t>En l’espèce, l’intimé a rejeté la nouvelle demande de l’assurée, dont il a considéré que si son état s’était certes transitoirement aggravé, elle avait recouvré depuis janvier 2011 une pleine capacité de travail. La recourante le conteste et argue qu’un degré d’invalidité de 70% au moins devrait lui être reconnu.</w:t>
      </w:r>
    </w:p>
    <w:p>
      <w:r>
        <w:rPr>
          <w:b/>
        </w:rPr>
        <w:t>E. 15</w:t>
      </w:r>
    </w:p>
    <w:p>
      <w:r>
        <w:t>Ainsi que l’a relevé la Chambre de céans dans son ordonnance d’expertise, ont été versées au dossier deux expertises aboutissant à des conclusions diamétralement opposées : les experts psychiatres du Centre universitaire romand de médecine légale ont estimé l’assurée totalement incapable de travailler depuis l’été 2010, alors que ceux du BEM l’ont jugée apte à exercer à 80% son ancienne activité. Qui plus est, les experts du BEM se sont fondés, pour nier le caractère invalidant des atteintes de l’assurée, sur des critères qui n’avaient plus cours désormais, raison pour laquelle une expertise judiciaire a été mise sur pied. Le rapport des experts judiciaires se fonde sur une anamnèse détaillée, des examens cliniques et tient compte des plaintes de la recourante. À cet égard, il y a lieu de relever que, contrairement à ce qu’allègue celle-ci, ses « pensées dérangeantes » ont été mentionnées par l’expert psychiatre, qui les a décrites et a longuement expliqué pourquoi il n’en tirait aucun diagnostic. Le rapport des experts a été établi en pleine connaissance du dossier et ses conclusions, dûment motivées, ne laissent pas apparaître de contradiction. Il y a donc lieu de lui reconnaître pleine valeur probante ce, d'autant plus que la recourante n’amène aucun élément objectif médical à l’appui de ses reproches à l’encontre de l’expertise psychiatrique. On rappellera en particulier que la durée de l'examen clinique ne figure pas au nombre des critères retenus par la jurisprudence pour apprécier la valeur du travail de l’expert, dont le rôle consiste notamment à se faire une idée sur l'état de santé d'un assuré dans un délai relativement bref (ATF 125 V 351 consid. 3a ; ATF non publié I 1084/06 du 26 novembre 2007 consid. 4). Quant au fait que l’expert psychiatre ait mentionné une consommation d’un demi paquet de cigarettes par jour au lieu d’un, on peine à comprendre les conclusions que l’on pourrait en tirer en termes de qualité de l’expertise psychiatrique. On relèvera qu’au demeurant, les conclusions des experts judiciaires rejoignent finalement celles du BEM. Tout comme les experts du BEM, l’expert psychiatre a indiqué ne pouvoir souscrire à l’appréciation du Centre de médecine légale d’avril 2013, le statut objectif décrit étant peu compatible avec la présence d’un véritable</w:t>
      </w:r>
    </w:p>
    <w:p>
      <w:r>
        <w:t>A/981/2014 - 23/24 - épisode dépressif au sens de la CIM-10. Certes, les appréciations du BEM et de l’expert psychiatre divergent légèrement sur un point : le Dr O______ considère que ses confrères ont sous-estimé l’importance de la pathologie anxieuse, dont il a quant à lui considéré qu’elle était suffisamment présente pour entraîner une incapacité de travail modérée. Mais finalement, les experts du BEM retiennent une capacité de 80%, alors que les experts judiciaires l’évaluent à 70% ; leurs appréciations respectives ne sont dès lors pas très éloignées l’une de l’autre. En conclusion, il n’y a dès lors aucune raison de s’écarter des conclusions de l’expertise judiciaire, d’autant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S’agissant de l’évolution depuis avril 2008, l’expert psychiatre a constaté qu’entre avril et décembre 2010, l’assurée avait été admise à plusieurs reprises en hôpital psychiatrique, raison pour laquelle il a retenu une totale incapacité de travail durant cette période. Cette incapacité a duré moins d’une année puisqu’en mars 2011, le psychiatre traitant a attesté d’une reprise à 100%. Par la suite, les psychiatres traitants ont fait état d’une grande fluctuation de la thymie justifiant selon eux une incapacité de travail persistante et totale, mais l’expert judiciaire a relevé que les descriptions cliniques réalisées en 2013 montraient un état clinique plutôt stationnaire et une dépression modérée, voire absente. En définitive, il a donc considéré qu’à compter d’avril 2011, le taux d’incapacité de travail s’était limité à 30% (la période de crise liée au conflit conjugal avait pris fin et la situation s’était relativement stabilisée). Eu égard aux considérations qui précèdent, c’est dès lors à juste titre que l’intimé a rejeté la nouvelle demande de la recourante. En effet, s’il y a bien eu aggravation depuis la décision initiale, cette péjoration a été transitoire. Désormais, l’incapacité de travail dans l’activité habituelle n’est que de 30%, taux qui se confond avec le degré d’invalidité, insuffisant pour ouvrir droit à une rente. Quant aux mesures de réadaptation, les experts ont jugé qu’il n’y a pas d’indication du point de vue psychique, ni perspective d’amélioration de la capacité de travail grâce à des mesures médicales, du moins dans un avenir prévisible. En conséquence, le recours est rejeté.</w:t>
      </w:r>
    </w:p>
    <w:p>
      <w:r>
        <w:t>A/981/2014 - 24/24 -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