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ATAS/594/2013 vom 11. Juni 2013</w:t>
      </w:r>
    </w:p>
    <w:p>
      <w:r>
        <w:t>GE Cour de justice, 2013-06-11, FR</w:t>
      </w:r>
    </w:p>
    <w:p>
      <w:r>
        <w:rPr>
          <w:b/>
        </w:rPr>
        <w:t xml:space="preserve">Quelle: </w:t>
      </w:r>
      <w:r>
        <w:t>https://mcp.opencaselaw.ch/entscheid/ge_gerichte_ATAS_594_2013</w:t>
      </w:r>
    </w:p>
    <w:p>
      <w:r>
        <w:t>FR: GE_GERICHTE ATAS/594/2013 du 11 juin 2013</w:t>
      </w:r>
    </w:p>
    <w:p>
      <w:r>
        <w:t>IT: GE_GERICHTE ATAS/594/2013 del 11 giugno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le recours est recevable (art. 56 et 60 LPGA). La décision dont est recours est une décision d’ordonnancement au sens de l’art. 51 al. 1 LPGA. A cet égard, il est à relever que la voie de l’opposition n’est pas ouverte contre de telles décisions, selon l’art. 52 al. 1 LPGA. Ces décisions peuvent donc être portées directement devant l’instance de recours (art. 56 al. 1 LPGA).</w:t>
      </w:r>
    </w:p>
    <w:p>
      <w:r>
        <w:rPr>
          <w:b/>
        </w:rPr>
        <w:t>E. 3</w:t>
      </w:r>
    </w:p>
    <w:p>
      <w:r>
        <w:t>Le recourant conteste le fait que l’OAI confie l'expertise pluridisciplinaire le concernant au CEMED, récuse ce dernier, ainsi que les médecins choisis, et demande à pouvoir compléter le cas échéant la liste des questions qui sera soumise aux experts. Il souhaitait également qu'un volet ophtalmologique soit ajouté à la mission d'expertise. L'OAI a d'ores et déjà admis ce volet supplémentaire, de sorte qu'il n'y a plus lieu de traiter cette question dans le cadre du présent jugement.</w:t>
      </w:r>
    </w:p>
    <w:p>
      <w:r>
        <w:rPr>
          <w:b/>
        </w:rPr>
        <w:t>E. 4</w:t>
      </w:r>
    </w:p>
    <w:p>
      <w:r>
        <w:t>A titre préalable, la Cour de céans relève que la nécessité de mettre en œuvre une expertise pluridisciplinaire n’est pas remise en cause par les parties.</w:t>
      </w:r>
    </w:p>
    <w:p>
      <w:r>
        <w:rPr>
          <w:b/>
        </w:rPr>
        <w:t>E. 5</w:t>
      </w:r>
    </w:p>
    <w:p>
      <w:r>
        <w:t>Selon l’art. 44 LPGA, si l’assureur doit recourir aux services d’un expert indépendant pour élucider les faits, il donne connaissance du nom de celui-ci aux parties. Celles-ci peuvent récuser l’expert pour des raisons pertinentes et présenter des contre-propositions.</w:t>
      </w:r>
    </w:p>
    <w:p>
      <w:r>
        <w:rPr>
          <w:b/>
        </w:rPr>
        <w:t>E. 6</w:t>
      </w:r>
    </w:p>
    <w:p>
      <w:r>
        <w:t>Dans un arrêt publié in ATF 137 V 210, le Tribunal fédéral a modifié sa jurisprudence en rapport avec la mise en œuvre d’expertises administratives et judiciaires auprès des Centres d’observation médicale de l’assurance-invalidité (COMAI). Le Tribunal fédéral a rappelé que la récolte de données médicales à l'appui de la décision auprès d'instituts d'expertise externes, comme le COMAI dans l'assurance- invalidité suisse, ainsi que l'utilisation de ces données également dans la procédure</w:t>
      </w:r>
    </w:p>
    <w:p>
      <w:r>
        <w:t>A/411/2013 - 5/11 - judiciaire sont en soi conformes à la Constitution et à la CEDH (ATF 9C_243/2010 du 28 juin 2011, consid. 2.1-2.3, publié in ATF 137 V 210), ce que confirme en particulier le droit comparé (consid. 2.2.3). Cela étant, afin de pallier les risques de mise en cause des garanties de procédure découlant des perspectives de gain que tire le COMAI de son activité pour le compte de l’assurance-invalidité, le TF a incité les autorités à mettre en place des correctifs en vue d’améliorer et d’unifier les exiges de qualité et de leur contrôle. Il a également estimé nécessaire de renforcer les droits de participation des justiciables et jugé qu’en cas de désaccord, l’expertise doit être mise en œuvre par le biais d’une décision incidente sujette à recours auprès du tribunal cantonal des assurances sociales. Il convient, selon le TF,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Le TF a jugé que la mise en œuvre de l'expertise doit revêtir, en l’absence d’un accord, la forme d’une décision incidente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Selon l’arrêt publié à l'ATF 137 V 210,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w:t>
      </w:r>
    </w:p>
    <w:p>
      <w:r>
        <w:t>A/411/2013 - 6/11 - incidente susceptible de recours (seulement) lorsqu’elle est en désaccord avec le requérant ou ses proches sur le choix de l’expert.</w:t>
      </w:r>
    </w:p>
    <w:p>
      <w:r>
        <w:rPr>
          <w:b/>
        </w:rPr>
        <w:t>E. 7</w:t>
      </w:r>
    </w:p>
    <w:p>
      <w:r>
        <w:t>Pour répondre aux exigences posées par le Tribunal fédéral, le Conseil fédéral a introduit le nouvel art. 72bis du Règlement sur l’assurance-invalidité du 17 janvier 1961 ( RAI, RS 831.201), en vigueur depuis le 1er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l’OFAS a élaboré une liste des critères que les centres d’expertises doivent remplir depuis le 1er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w:t>
      </w:r>
    </w:p>
    <w:p>
      <w:r>
        <w:rPr>
          <w:b/>
        </w:rPr>
        <w:t>E. 8</w:t>
      </w:r>
    </w:p>
    <w:p>
      <w:r>
        <w:t>SuisseMED@P est une plateforme basée sur le web. Elle attribue des mandats d’expertise médicale pluridisciplinaire de manière aléatoire. SuisseMED@P dispose d’un service statistique. Il permet de mesurer la qualité et le temps nécessaire à l’accomplissement des mandats. Il est possible d’y effectuer des recherches. A partir du 1er mars 2012, les offices AI sont tenus d’attribuer tous les mandats d’expertise médicale pluridisciplinaire par l’intermédiaire de SuisseMED@P (art. 72bis du règlement sur l’assurance-invalidité). A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qu’elle juge une expertise médicale pluridisciplinaire nécessaire. Elle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souhaitée7). On peut raisonnablement exiger de la personne assurée qu’elle se soumette à des expertises dans toute la Suisse. Le centre d’expertises tiré au sort et l’office AI à l’origine du mandat sont informés de l’attribution du mandat par courriel.</w:t>
      </w:r>
    </w:p>
    <w:p>
      <w:r>
        <w:t>A/411/2013 - 7/11 -</w:t>
      </w:r>
    </w:p>
    <w:p>
      <w:r>
        <w:rPr>
          <w:b/>
        </w:rPr>
        <w:t>E. 9</w:t>
      </w:r>
    </w:p>
    <w:p>
      <w:r>
        <w:t>En l'espèce, la Cour de céans considère que la seule lecture des documents produits par l'OAI à sa demande ne permet pas de s'assurer que la procédure a été correctement suivie. La question peut toutefois être laissée ouverte au vu de l'issue du présent recours.</w:t>
      </w:r>
    </w:p>
    <w:p>
      <w:r>
        <w:rPr>
          <w:b/>
        </w:rPr>
        <w:t>E. 10</w:t>
      </w:r>
    </w:p>
    <w:p>
      <w:r>
        <w:t>L'assuré fait également valoir des motifs de récusation à l’encontre d’un expert en particulier, le Dr L______, alléguant qu'il a déjà été examiné par ce médecin et que la communication entre eux avait été difficile. En matière de récusation,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(ATF du 30 novembre 1999, 1P.553/1999 ; ATF du 14 mars 2006, I 14/2004).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125 V 353 sv. consid. 3b/ee, 123 V 176 consid. 3d et l'arrêt cité; VSI 2001 p. 109 sv. consid. 3b/ee; RAMA 1999 n° U 332 p. 193 consid. 2a/bb et les références). En l'espèce, l'assuré vise l'impartialité subjective de l'expert, qu'il dénie à ce médecin en raison de l'attitude qu'il aurait eue avec lui lors d'examens antérieurs. Comme cette impartialité se présume jusqu'à preuve du contraire (Auer/Malinverni/Hottelier, Droit constitutionnel suisse, vol. II: Les droits fondamentaux, Berne 2000, p. 579 ch. 1205), il ne suffit pas à l'assuré d'alléguer une prétendue partialité, mais il lui incombe d'en établir la preuve contraire. En l'espèce, l'assuré s'est borné à faire état d'une communication qu'il a qualifié de difficile, sans autre précision. Or, rien ne permet de déduire d'une éventuelle communication difficile survenue antérieurement une prévention générale à l'égard de l'assuré qui se manifesterait</w:t>
      </w:r>
    </w:p>
    <w:p>
      <w:r>
        <w:t>A/411/2013 - 8/11 - dans le cadre de l'expertise envisagée. Toutefois, il importe de constater dans le cas présent que l'OAI n’a à aucun moment essayé de parvenir à un accord avec l'assuré sur le choix de l’expert, lorsque celui-ci s'est opposé à la désignation du médecin précité, tel que cela est aujourd’hui préconisé par le TF. Il n’a jamais non plus justifié pourquoi il persistait à vouloir mandater le Dr L______ et n'a pas fait d'autres propositions d’experts. Au vu de la jurisprudence du Tribunal fédéral, cette façon de faire viole les droits de participation de l’assuré dans la procédure de désignation de l’expert, lorsque celui-ci déclare son désaccord avec la personne pressentie à ce titre par l'assureur (cf également ATAS/226/2013). Partant, la cause doit être renvoyée à l'OAI, afin qu’il se prononce sur les personnes que proposera à titre d’expert l'assuré ou, si celles-ci ne lui conviennent pas, donnera le nom d'un ou de plusieurs autres médecins susceptibles d’assumer le mandat d’expertise.</w:t>
      </w:r>
    </w:p>
    <w:p>
      <w:r>
        <w:rPr>
          <w:b/>
        </w:rPr>
        <w:t>E. 11</w:t>
      </w:r>
    </w:p>
    <w:p>
      <w:r>
        <w:t>L'assuré se plaint également de n'avoir pas reçu préalablement les questions qui devaient être posées aux experts et, partant, de ne pas avoir pu en ajouter. En ce qui concerne le droit des parties de se prononcer sur les questions à soumettre à l’expert, il ne suffit pas que le droit d’être entendu soit seulement "formellement" respecté, comme le fait valoir l'intimée. La jurisprudence du Tribunal fédéral en matière de droits constitutionnels a également déduit du droit d’être entendu le droit d’obtenir une décision motivée. L’autorité doit donc prendre position sur les questions décisives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2011, p. 521 n. 1573). Cela implique que l’assureur doit également tenir compte des remarques des parties et ne peut écarter leurs conclusions sans motif valable. Dans la mesure où la mission de l'expert doit faire l'objet d'une décision incidente en cas de désaccord, elle peut ensuite être contrôlée par l’instance de recours. Lorsque la participation de la personne concernée aboutit à des questions adéquates dans le cas concret, cela contribue en outre de façon notable à la qualité de l'expertise (ATF 137 V 210 consid. 3.4.2.9 p. 258). Dans son arrêt ATF 137 V 210, le TF a renforcé les droits de participation des parties dans la mise en place d'une expertise médicale.</w:t>
      </w:r>
    </w:p>
    <w:p>
      <w:r>
        <w:rPr>
          <w:b/>
        </w:rPr>
        <w:t>E. 12</w:t>
      </w:r>
    </w:p>
    <w:p>
      <w:r>
        <w:t>C'est le 20 juillet 2012 que l'OAI a transmis la liste des questions au mandataire. Force est de constater que l'assuré ne s'est pas manifesté dans le délai de dix jours à lui imparti. Or, celui-ci affirme ne pas avoir reçu le courrier y relatif, de sorte qu'il n'a réagi qu'à la suite de la communication du 6 novembre 2012.</w:t>
      </w:r>
    </w:p>
    <w:p>
      <w:r>
        <w:t>A/411/2013 - 9/11 -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Le fardeau de la preuve de la notification d'un acte et de sa date incombe en principe à celui qui entend en tirer une conséquence juridique (ATF 124 V 402). L'envoi sous pli simple ne permet en général pas d'établir que la communication est parvenue au destinataire. Même la présence au dossier de la copie d'une lettre n'autorise pas à conclure avec un degré de vraisemblance prépondérante que cette lettre a été effectivement envoyée par son expéditeur et qu'elle a été reçue par le destinataire (cf. ATF 101 Ia 8). La preuve de la notification d'un acte peut néanmoins résulter d'autres indices et de l'ensemble des circonstances, en particulier, de la correspondance échangée (ATF 105 III 46). Selon la jurisprudence, si une autorité veut s'assurer qu'un envoi parvienne à son destinataire, elle doit le notifier par lettre recommandée. Il n'y a pas d'indice permettant de conclure que le recourant s'attendait ou devait s'attendre avec une certaine probabilité à une notification officielle, ou qu'il tentait de s'y soustraire. Le fait de le priver de ses moyens de défense pour la seule raison qu'il n'a pas réagi à une notification vainement tentée dont il n'a, en réalité, jamais pris connaissance, constitue par conséquent une violation de l'art. 4 Cst. Dans un pareil cas, l'intérêt à un déroulement régulier de la procédure doit céder le pas (ATF 101 Ia 8).</w:t>
      </w:r>
    </w:p>
    <w:p>
      <w:r>
        <w:t>A/411/2013 - 10/11 - Le fardeau de la preuve de la notification d'un acte et de la date à laquelle celui-ci a été notifié incombe en principe à l'autorité qui entend en tirer une conséquence juridique (ATF 129 I 8 consid. 2.2 p. 10, 124 V 400 consid. 2a p. 402, 122 I 97 consid. 3b p. 100, 114 III 51 consid. 3c et 4 p. 53/54, 103 V 63 consid. 2a p. 65), laquelle supporte donc les conséquences de l'absence de preuve, en ce sens que, si la notification ou sa date sont contestées et s'il existe un doute à ce sujet, il y a lieu de se fonder sur les déclarations du destinataire de l'envoi (ATF 103 V 63 consid. 2a p. 65 ; ATF 9C_413/2011).</w:t>
      </w:r>
    </w:p>
    <w:p>
      <w:r>
        <w:rPr>
          <w:b/>
        </w:rPr>
        <w:t>E. 13</w:t>
      </w:r>
    </w:p>
    <w:p>
      <w:r>
        <w:t>En l'espèce, l'OAI a indiqué que sa communication du 20 juillet 2012 avait été adressée au mandataire de l'assuré sous pli simple. Il y a en conséquence lieu de considérer, au vu de ce qui précède, que celui-ci ne l'a pas reçue. La liste des questions établie par le SMR le 19 juillet 2012 doit être donnée à l'assuré et un délai de dix jours lui être accordé pour qu'il puisse communiquer à l'OAI ses questions complémentaires le cas échéant.</w:t>
      </w:r>
    </w:p>
    <w:p>
      <w:r>
        <w:rPr>
          <w:b/>
        </w:rPr>
        <w:t>E. 14</w:t>
      </w:r>
    </w:p>
    <w:p>
      <w:r>
        <w:t>Aussi le recours est-il admis.</w:t>
      </w:r>
    </w:p>
    <w:p>
      <w:r>
        <w:rPr>
          <w:b/>
        </w:rPr>
        <w:t>E. 15</w:t>
      </w:r>
    </w:p>
    <w:p>
      <w:r>
        <w:t>L’objet du présent litige ne concernant pas l’octroi ou le refus de prestations, il n’est pas perçu d’émolument (cf. art. 69al. 1bis LAI).</w:t>
      </w:r>
    </w:p>
    <w:p>
      <w:r>
        <w:t>A/411/2013 - 11/11 -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