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ATAS/594/2010 vom 21. September 2004</w:t>
      </w:r>
    </w:p>
    <w:p>
      <w:r>
        <w:t>GE Cour de justice, 2004-09-21, FR</w:t>
      </w:r>
    </w:p>
    <w:p>
      <w:r>
        <w:rPr>
          <w:b/>
        </w:rPr>
        <w:t xml:space="preserve">Quelle: </w:t>
      </w:r>
      <w:r>
        <w:t>https://mcp.opencaselaw.ch/entscheid/ge_gerichte_ATAS_594_2010</w:t>
      </w:r>
    </w:p>
    <w:p>
      <w:r>
        <w:t>FR: GE_GERICHTE ATAS/594/2010 du 21 septembre 2004</w:t>
      </w:r>
    </w:p>
    <w:p>
      <w:r>
        <w:t>IT: GE_GERICHTE ATAS/594/2010 del 21 settembre 2004</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et à l’art. 43 de la loi cantonale du 25 octobre 1968 sur les prestations cantonales complémentaires à l’assurance-vieillesse et survivants et à l’assurance-invalidité (LPCC; art. 56 V al. 2 let. a LOJ). Sa compétence pour juger du cas d’espèce est donc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t>A/1249/2010 - 4/6 -</w:t>
      </w:r>
    </w:p>
    <w:p>
      <w:r>
        <w:rPr>
          <w:b/>
        </w:rPr>
        <w:t>E. 3</w:t>
      </w:r>
    </w:p>
    <w:p>
      <w:r>
        <w:t>Les dispositions de la LPGA, en vigueur depuis le 1er janvier 2003, s’appliquent aux prestations complémentaires fédérales à moins que la LPCC n'y déroge expressément (art. 1 al. 1 LPC). Il en va de même en matière de prestations complémentaires cantonales (cf. art. 1A let. b LPCC).</w:t>
      </w:r>
    </w:p>
    <w:p>
      <w:r>
        <w:rPr>
          <w:b/>
        </w:rPr>
        <w:t>E. 4</w:t>
      </w:r>
    </w:p>
    <w:p>
      <w:r>
        <w:t>Le litige porte sur la prise en charge du loyer du recourant et sur le montant des prestations complémentaires à verser dès le 1er mars 2010.</w:t>
      </w:r>
    </w:p>
    <w:p>
      <w:r>
        <w:rPr>
          <w:b/>
        </w:rPr>
        <w:t>E. 5</w:t>
      </w:r>
    </w:p>
    <w:p>
      <w:r>
        <w:t>a)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L’art. 4 al. 1er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Le droit aux prestations complémentaires cantonales prévues par la LPCC est ouvert notamment aux personnes qui ont leur domicile et leur résidence habituelle à Genève et qui sont au bénéficie d'une rente de l'assurance-invalidité (art. 2 LPCC). L’art. 9 al. 1er LPC dispose que le montant de la prestation complémentaire annuelle correspond à la part des dépenses reconnues qui excède les revenus déterminants.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 ce montant ayant été adapté à 18'720 fr. en vertu de l'art. 1 al. 1 let. a de l'Ordonnance 09 sur les adaptations dans le régime des prestations complémentaires à l’AVS/AI. Les dépenses reconnues comprennent en outre le loyer d’un appartement et les frais accessoires y relatifs, le montant annuel maximal reconnu est de 13'200 fr. pour les personnes seules (art. 10 al. 1 let. b ch. 1 LPC). Le montant des prestations complémentaires cantonales correspond quant à lui à la part des dépenses reconnues qui excède le revenu déterminant de l'intéressé (art. 15 LPCC). Pour les prestations complémentaires cantonales, le montant correspondant à la couverture des besoins vitaux est remplacé par le montant destiné à garantir le revenu minimum vital cantonal d'aide sociale défini (art. 6 LPCC), lequel est fixé à 28'642 fr. pour un invalide dont le taux d'invalidité est de 70 % ou plus par l'art. 3 al. 1 let. 3 du règlement d'application de la loi sur les prestations cantonales</w:t>
      </w:r>
    </w:p>
    <w:p>
      <w:r>
        <w:t>A/1249/2010 - 5/6 - complémentaires à l'assurance-vieillesse et survivants et à l'assurance-invalidité (RPCC; J 7 15.01). Aux termes de l’art. 11 al. 1er let. d LPC, les revenus déterminants comprennent les rentes de l’AI. Le montant des prestations complémentaires fédérales et cantonales est ainsi déterminé par de simples opérations arithmétiques. b) En l'espèce, le calcul du montant auquel le recourant a droit à titre de prestations complémentaires fédérales et cantonales a été établi comme suit par l'intimé:</w:t>
      </w:r>
    </w:p>
    <w:p>
      <w:r>
        <w:t>a) Prestations complémentaires fédérales</w:t>
      </w:r>
    </w:p>
    <w:p>
      <w:r>
        <w:t>b) Prestations complémentaires cantonales</w:t>
      </w:r>
    </w:p>
    <w:p>
      <w:r>
        <w:t>a)</w:t>
      </w:r>
    </w:p>
    <w:p>
      <w:r>
        <w:t>b)</w:t>
      </w:r>
    </w:p>
    <w:p>
      <w:r>
        <w:t>Besoins vitaux / Revenu minimum vital 18'720 fr</w:t>
      </w:r>
    </w:p>
    <w:p>
      <w:r>
        <w:t>28'642 fr. Loyer brut annuel</w:t>
      </w:r>
    </w:p>
    <w:p>
      <w:r>
        <w:t>13'200 fr.</w:t>
      </w:r>
    </w:p>
    <w:p>
      <w:r>
        <w:t>13'200 fr. Total des dépenses reconnues</w:t>
      </w:r>
    </w:p>
    <w:p>
      <w:r>
        <w:t>31'920 fr.</w:t>
      </w:r>
    </w:p>
    <w:p>
      <w:r>
        <w:t>41'842 fr. Prestations compl. fédérales versées</w:t>
      </w:r>
    </w:p>
    <w:p>
      <w:r>
        <w:t>6'495 fr. Rente AI annuelle</w:t>
      </w:r>
    </w:p>
    <w:p>
      <w:r>
        <w:t>14'040 fr.</w:t>
      </w:r>
    </w:p>
    <w:p>
      <w:r>
        <w:t>14'040 fr. Rente annuelle versée par la SUVA</w:t>
      </w:r>
    </w:p>
    <w:p>
      <w:r>
        <w:t>11'385 fr</w:t>
      </w:r>
    </w:p>
    <w:p>
      <w:r>
        <w:t>11'385 fr Produit de la fortune</w:t>
      </w:r>
    </w:p>
    <w:p>
      <w:r>
        <w:t>ct. 40</w:t>
      </w:r>
    </w:p>
    <w:p>
      <w:r>
        <w:t>ct. 40 Total des revenus</w:t>
      </w:r>
    </w:p>
    <w:p>
      <w:r>
        <w:t>25'425 fr. 40 31'920 fr.</w:t>
      </w:r>
    </w:p>
    <w:p>
      <w:r>
        <w:t>Différence dépenses-revenu</w:t>
      </w:r>
    </w:p>
    <w:p>
      <w:r>
        <w:t>6'495 fr.</w:t>
      </w:r>
    </w:p>
    <w:p>
      <w:r>
        <w:t>9'922 fr.</w:t>
      </w:r>
    </w:p>
    <w:p>
      <w:r>
        <w:t>Montant des prestations complémentaires 6'495 fr.</w:t>
      </w:r>
    </w:p>
    <w:p>
      <w:r>
        <w:t>9'922 fr.</w:t>
      </w:r>
    </w:p>
    <w:p>
      <w:r>
        <w:t>Montant mensuel</w:t>
      </w:r>
    </w:p>
    <w:p>
      <w:r>
        <w:t>542 fr.</w:t>
      </w:r>
    </w:p>
    <w:p>
      <w:r>
        <w:t>827 fr.</w:t>
      </w:r>
    </w:p>
    <w:p>
      <w:r>
        <w:t>Ce calcul est conforme aux dispositions légales précitées. C'est donc bien à un montant mensuel de 1'369 fr. (correspondant à 542 fr. à titre de prestations complémentaires fédérales et 827 fr. à titre de prestations complémentaires cantonales) qu'a droit le recourant, soit un solde de 219 fr. après versement direct du loyer de 1'150 fr. à la gérance. En effet, le montant de 13'200 fr. pris en compte dans le calcul des prestations complémentaires constitue un forfait maximal pour une personne vivant seule. Si le loyer effectif annuel d'un assuré dépasse ce montant, il ne pourra ainsi en être tenu compte qu'à hauteur du forfait fixé par la loi. Partant, une augmentation du loyer d'un assuré, réglé directement par le SPC, peut conduire à une diminution du solde des prestations complémentaires fédérales et cantonales que touche l'assuré en espèces. Un tel procédé est conforme au droit. La décision de l'intimé ne peut dès lors qu'être confirmée sur le montant des prestations complémentaires auquel a droit le recourant dès le 1er mars 2010.</w:t>
      </w:r>
    </w:p>
    <w:p>
      <w:r>
        <w:rPr>
          <w:b/>
        </w:rPr>
        <w:t>E. 6</w:t>
      </w:r>
    </w:p>
    <w:p>
      <w:r>
        <w:t>Mal fondé, le recours est rejeté.</w:t>
      </w:r>
    </w:p>
    <w:p>
      <w:r>
        <w:t>A/1249/2010 - 6/6 -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