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ATAS/593/2014 vom 8. Mai 2014</w:t>
      </w:r>
    </w:p>
    <w:p>
      <w:r>
        <w:t>GE Cour de justice, 2014-05-08, FR</w:t>
      </w:r>
    </w:p>
    <w:p>
      <w:r>
        <w:rPr>
          <w:b/>
        </w:rPr>
        <w:t xml:space="preserve">Quelle: </w:t>
      </w:r>
      <w:r>
        <w:t>https://mcp.opencaselaw.ch/entscheid/ge_gerichte_ATAS_593_2014</w:t>
      </w:r>
    </w:p>
    <w:p>
      <w:r>
        <w:t>FR: GE_GERICHTE ATAS/593/2014 du 8 mai 2014</w:t>
      </w:r>
    </w:p>
    <w:p>
      <w:r>
        <w:t>IT: GE_GERICHTE ATAS/593/2014 del 8 maggio 2014</w:t>
      </w:r>
    </w:p>
    <w:p>
      <w:pPr>
        <w:pStyle w:val="Heading2"/>
      </w:pPr>
      <w:r>
        <w:t>Volltext</w:t>
      </w:r>
    </w:p>
    <w:p>
      <w:r>
        <w:t>Siégeant : Karine STECK, Présidente; Michael BIOT et Claudiane CORTHAY, Juges assesseurs</w:t>
      </w:r>
    </w:p>
    <w:p>
      <w:r>
        <w:t>REPUBLIQUE ET</w:t>
      </w:r>
    </w:p>
    <w:p>
      <w:r>
        <w:t>CANTON DE GENEVE POUVOIR JUDICIAIRE</w:t>
      </w:r>
    </w:p>
    <w:p>
      <w:r>
        <w:t>A/788/2014 ATAS/593/2014 COUR DE JUSTICE Chambre des assurances sociales Arrêt du 8 mai 2014 3ème Chambre</w:t>
      </w:r>
    </w:p>
    <w:p>
      <w:r>
        <w:t>En la cause Madame A______, domiciliée aux AVANCHETS, représentée par l’Association suisse des assurés (ASSUAS)</w:t>
      </w:r>
    </w:p>
    <w:p>
      <w:r>
        <w:t>recourante</w:t>
      </w:r>
    </w:p>
    <w:p>
      <w:r>
        <w:t>contre CSS ASSURANCE-MALADIE SA, Droit &amp; Compliance, sise Tribschenstrasse 21, LUCERNE intimée</w:t>
      </w:r>
    </w:p>
    <w:p>
      <w:r>
        <w:t>A/788/2014 - 2/2 - ATTENDU EN FAIT</w:t>
      </w:r>
    </w:p>
    <w:p>
      <w:r>
        <w:t>Que par décisions des 28 décembre 2012, 8 et 12 mars 2013, CSS ASSURANCE- MALADIE SA (ci-après : l’assurance) a levé les oppositions formées par Madame A______ (ci-après : l’assurée) contre les commandements de payer qui lui avaient été notifiés en dates des 19 novembre 2012 ( 1______), 22 janvier 2013 ( 2______) et 29 janvier 2013 ( 3______) ; Que ces décisions ont été confirmées le 26 novembre 2013 ; Que l’assurée ayant interjeté recours auprès de la Cour de céans le 13 janvier 2014, une procédure A/101/2014 a été ouverte ; Qu’invitée à se déterminer, l’intimée, par pli du 12 février 2014, a transmis à la Cour copie de sa « décision en révision » du même jour, aux termes de laquelle elle prononçait la mainlevée des oppositions aux poursuites 1______ et 2______ ; Que le 14 mars 2014, l’assurée ayant formellement interjeté recours contre la décision en révision du 12 février 2014, une seconde procédure a été ouverte (la présente : A/788/2014) ; Que par écriture du 18 mars 2014, l’intimée a fait savoir à la Cour de céans qu’elle avait procédé à une nouvelle comptabilisation, qu’il en était ressorti que les poursuites litigieuses avaient pu être soldées et qu’elle en avait donc requis l’abandon ; Que le 27 mars 2014, la Chambre de céans a admis le recours du 13 janvier 2014 et annulé tant la décision sur oppositions du 26 novembre 2013 que celle du 12 février 2014 (ATAS/443/2014) ; Que par pli du 16 avril 2014, l’assurée a indiqué retirer son recours du 14 mars 2014 ; Qu'il convient d'en prendre acte et de rayer la cause du rôle.</w:t>
      </w:r>
    </w:p>
    <w:p>
      <w:r>
        <w:t>PAR CES MOTIFS, LA CHAMBRE DES ASSURANCES SOCIALES : Statuant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