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ATAS/592/2018 vom 26. Juni 2018</w:t>
      </w:r>
    </w:p>
    <w:p>
      <w:r>
        <w:t>GE Cour de justice, 2018-06-26, FR</w:t>
      </w:r>
    </w:p>
    <w:p>
      <w:r>
        <w:rPr>
          <w:b/>
        </w:rPr>
        <w:t xml:space="preserve">Quelle: </w:t>
      </w:r>
      <w:r>
        <w:t>https://mcp.opencaselaw.ch/entscheid/ge_gerichte_ATAS_592_2018</w:t>
      </w:r>
    </w:p>
    <w:p>
      <w:r>
        <w:t>FR: GE_GERICHTE ATAS/592/2018 du 26 juin 2018</w:t>
      </w:r>
    </w:p>
    <w:p>
      <w:r>
        <w:t>IT: GE_GERICHTE ATAS/592/2018 del 26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Le recours, interjeté dans les forme et délai prescrits par la loi, est recevable (art. 56 ss LPGA).</w:t>
      </w:r>
    </w:p>
    <w:p>
      <w:r>
        <w:rPr>
          <w:b/>
        </w:rPr>
        <w:t>E. 4</w:t>
      </w:r>
    </w:p>
    <w:p>
      <w:r>
        <w:t>Le litige porte sur le droit de l’assuré à des prestations AI.</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w:t>
      </w:r>
    </w:p>
    <w:p>
      <w:r>
        <w:t>A/4618/2017 - 8/15 -</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Aussi la notion d'invalidité, au sens du droit des assurances sociales, est-elle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A/4618/2017 - 9/15 -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w:t>
      </w:r>
    </w:p>
    <w:p>
      <w:r>
        <w:t>A/4618/2017 - 10/15 -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w:t>
      </w:r>
    </w:p>
    <w:p>
      <w:r>
        <w:rPr>
          <w:b/>
        </w:rPr>
        <w:t>E. 11</w:t>
      </w:r>
    </w:p>
    <w:p>
      <w:r>
        <w:t>En l’espèce, l’OAI a rejeté la demande de prestations de l’assuré, sur la base de l’expertise réalisée par les médecins de la policlinique médicale universitaire le 6 juin 2017. L’assuré conteste la valeur probante de cette expertise pour les motifs suivants : a. Il relève une importante contradiction, en pp. 18-19, en ce sens qu’il est conclu à une capacité de travail nulle dans l’activité de maçon depuis le 25 août 2014, et finalement à une capacité de travail entière dans une activité adaptée. Il est également indiqué que la capacité de travail peut être améliorée par des mesures d’ordre professionnel, d’une part, mais qu’un reclassement professionnel n’est pas judicieux, d’autre part. Il n’y a toutefois pas de contradiction entre la conclusion selon laquelle la personne est incapable de travailler à 100% dans son activité habituelle et celle selon laquelle elle est en revanche capable de travailler à 100% dans une activité adaptée. Par ailleurs, l’expert a certes indiqué que la capacité de travail pouvait être améliorée par des mesures d’ordre professionnel, mais a précisé qu’il pensait à une aide au placement, de sorte qu’il est cohérent qu’il réponde par la négative à la question de savoir si un reclassement professionnel est judicieux. b. L’assuré attire l’attention de la chambre de céans sur le fait que l’expert néphrologue pose le diagnostic d’insuffisance rénale chronique de stade III probablement liée à une hypertension artérielle et considère que ce degré d’insuffisance rénale chronique ne permet pas de retenir une limitation ou une incapacité de travail, alors que selon le Dr B______, le degré de l’insuffisance</w:t>
      </w:r>
    </w:p>
    <w:p>
      <w:r>
        <w:t>A/4618/2017 - 11/15 - rénale dont il souffre est sévère, ce qui est confirmé par le résultat des examens paracliniques figurant en p. 8 du rapport d’expertise, implique précisément fatigue, asthénie, céphalées, vertiges, douleurs musculaires, etc…, soit des effets ayant une influence sur la capacité de travail. Il y a à cet égard lieu de relever que l’expert a repris mot pour mot les conclusions du Dr E______ du 5 février 2015. Le Dr B______ ne donne dès lors qu’une interprétation différente de la capacité de travail sur la base du même état de faits. L’expert a toutefois indiqué qu’il était difficile de mettre un lien formel entre les douleurs lombaires dont se plaint le patient et la présence d’un méga-uretère congénital bilatéral mentionné par le Dr D______. Il a dès lors recommandé une nouvelle évaluation urologique avec une scintigraphie rénale avec test au Lasix forcé afin de mettre en évidence une éventuelle aggravation du problème urologique (méga-uretère bilatéral) pouvant expliquer les lombalgies du patient. c. L’assuré s’étonne de ce qu’en p. 7 du rapport d’expertise, il soit indiqué qu’il présente un handicap intellectuel grave dans le sens de la limitation du comportement adaptatif, qui l’empêche de fonctionner dans la vie quotidienne et que, parallèlement, l’expert psychiatre conclut tout de même à une capacité de travail de 100% dans une activité simple. Il est vrai que selon l’expert, « les capacités intellectuelles de l’assuré, évaluées cliniquement, paraissent de faible niveau ». Il a relevé que « l’expertisé est légèrement désorienté dans le temps (il ne peut citer la date précise de l’entretien) ». Il a également expliqué que, « bien que l’assuré était assisté par un traducteur professionnel, les troubles de l’attention et de la mémoire, les troubles de la concentration étaient difficilement évaluables, l’expertisé abandonnant les tâches demandées en raison de faibles acquisitions scolaire. Les troubles de la fixation étaient difficilement interprétables, l’expertisé n’ayant pas compris la consigne (il devait mémoriser les trois mots exposés). Ses aptitudes cognitives étaient également difficiles à évaluer en raison de la barrière linguistique et d’un faible bagage socioculturel (…). On se trouve certes face à un sujet fruste, probablement assez limité sur le plan cognitif, avec une intégration en Suisse limitée en raison de la barrière linguistique et socioculturelle ». Il importe de rappeler à ce stade que toute diminution des facultés intellectuelles (oligophrénie, imbécillité, idiotie, démence) doit être quantifiée au moyen de séries de tests adéquats. Un quotient intellectuel inférieur à 70 s’accompagne en règle générale d’une capacité de travail réduite. Il est nécessaire de procéder dans chaque cas particulier à une description objective des conséquences sur le comportement, l’activité professionnelle, les actes ordinaires de la vie et l’environnement social (cf. directives concernant l'invalidité et l'impotence, n° 1011). Ne peuvent en revanche pas être prises en compte notamment les causes étrangères à l’invalidité comme l’âge, le manque de formation scolaire, les problèmes de langue, les facteurs socioculturels, les purs phénomènes de dépendance et</w:t>
      </w:r>
    </w:p>
    <w:p>
      <w:r>
        <w:t>A/4618/2017 - 12/15 - l’exagération des manifestations objectives de l’atteinte à la santé (Circulaire sur l’invalidité et l’impotence dans l’assurance-invalidité (CIIAI) nos 1018.1 et 1026). Il n’y a pas de lien de causalité, et l’on n’est pas en présence d’un cas d’invalidité, lorsque l’incapacité de gain n’a pas été provoquée par une atteinte à la santé mais par d’autres facteurs (causes étrangères à l’invalidité, voir RCC 1989 p. 322), notamment pour des raisons inhérentes à la personnalité de l’assuré, par ex. un manque d’ardeur au travail (RCC 1964 p. 278), une formation insuffisante (RCC 1989 p. 322, 1980 p. 260) ou des connaissances linguistiques limitées, l’âge, une capacité de travail ne pouvant pas dépasser la mesure normale (RCC 1988 p. 503). Or, on ignore en l’espèce quelles sont les capacités intellectuelles de l’assuré, quelles sont véritablement ses aptitudes cognitives et quel rôle jouent les facteurs étrangers à l’invalidité le cas échéant. Il est vrai qu’il a été en mesure de travailler comme saisonnier dans le bâtiment, puis comme étancheur. Il n’en reste pas moins que l’expert psychiatre a qualifié son potentiel intellectuel de faible. Il serait intéressant à cet égard d’approfondir la question du QI, notamment. L’expert a retenu, à titre de limitation fonctionnelle, en raison du potentiel intellectuel faible précisément, que l’activité exercée doit être simple, sans toutefois indiquer en quoi elle pourrait consister. Il apparaît ainsi important d’évaluer les aptitudes cognitives de façon plus complète pour déterminer l’activité adaptée. Il est à cet égard utile de rappeler que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w:t>
      </w:r>
    </w:p>
    <w:p>
      <w:r>
        <w:t>A/4618/2017 - 13/15 - valeur leur capacité de travail résiduelle, on ne saurait exiger d'eux qu'ils prennent des mesures incompatibles avec l'ensemble des circonstances objectives et subjectives (arrêt 9C_313/2007 du 8 janvier 2008 consid. 5.2 in fine et la référence). La jurisprudence considère à cet égard que sous l’angle de l’obligation de diminuer le dommage,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d. L’assuré relève que le Dr F______ a jugé inquiétante son absence de capacité de critiques face à des actes de violence, tel qu’un crime se justifierait, et qu’il a retenu le diagnostic de traits de personnalité émotionnellement labile type impulsifs. Or, l’expert ne discute pas ce diagnostic et se borne à déclarer qu’un seul fait d’agression physique n’est pas suffisant pour relever d’une psychopathologie incapacitante.</w:t>
      </w:r>
    </w:p>
    <w:p>
      <w:r>
        <w:rPr>
          <w:b/>
        </w:rPr>
        <w:t>E. 12</w:t>
      </w:r>
    </w:p>
    <w:p>
      <w:r>
        <w:t>Force est de constater que le rapport d’expertise du 6 juin 2017 remplit sur le plan formel les critères applicables en matière de valeur probante. Il contient un résumé du dossier, une anamnèse détaillée et la description des plaintes du recourant. Il fait en outre l’objet d’une étude circonstanciée des points litigieux, se fonde sur des examens complets et prend en considération les indications subjectives de l’assuré. Enfin, il comporte la description des observations cliniques et une discussion générale du cas. Au vu de ce qui précède toutefois, ce rapport d’expertise doit être qualifié de lacunaire, de sorte que la chambre de céans ne peut s’y fier pour se prononcer sur la validité de la décision prise par l’OAI. Il doit indubitablement être complété. Manquent en effet une évaluation urologique, telle que recommandée par l’expert néphrologue, le Dr J______, (ch. 11 let. b ci-dessus) et une évaluation neurocognitive/psychiatrique (ch. 11 let. c et d ci-dessus).</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w:t>
      </w:r>
    </w:p>
    <w:p>
      <w:r>
        <w:t>A/4618/2017 - 14/15 -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À l'inverse, le renvoi à l'administration apparaît en général justifié si celle-ci a constaté les faits de façon sommaire, dans l'idée que le tribunal les éclaircirait comme il convient en cas de recours (voir RAMA 1986 n° K 665 p. 87; arrêt du Tribunal fédéral consid. 2.3 9C_162/2007 du 3 avril 2008). En l’espèce, la chambre de céans considère qu’il est préférable de renvoyer la cause à l’OAI pour instruction complémentaire, dans la mesure où cette instruction consistera en un complément d’expertise, soit une évaluation urologique et une évaluation neurocognitive/psychiatrique. L’expert néphrologue devra également examiner quelle a été l’évolution de l’insuffisance rénale, plus particulièrement s’il y a eu aggravation, ainsi que l’indique le Dr E______ le 5 février 2105, depuis les résultats chimiques obtenus le 12 décembre 2016 et pris en considération dans l’expertise du 6 juin 2017, étant rappelé que la décision litigieuse est datée du 20 octobre 2017.</w:t>
      </w:r>
    </w:p>
    <w:p>
      <w:r>
        <w:t>A/4618/2017 - 15/15 -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