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ATAS/592/2015 vom 17. August 2015</w:t>
      </w:r>
    </w:p>
    <w:p>
      <w:r>
        <w:t>GE Cour de justice, 2015-08-17, FR</w:t>
      </w:r>
    </w:p>
    <w:p>
      <w:r>
        <w:rPr>
          <w:b/>
        </w:rPr>
        <w:t xml:space="preserve">Quelle: </w:t>
      </w:r>
      <w:r>
        <w:t>https://mcp.opencaselaw.ch/entscheid/ge_gerichte_ATAS_592_2015</w:t>
      </w:r>
    </w:p>
    <w:p>
      <w:r>
        <w:t>FR: GE_GERICHTE ATAS/592/2015 du 17 août 2015</w:t>
      </w:r>
    </w:p>
    <w:p>
      <w:r>
        <w:t>IT: GE_GERICHTE ATAS/592/2015 del 17 agosto 2015</w:t>
      </w:r>
    </w:p>
    <w:p>
      <w:pPr>
        <w:pStyle w:val="Heading2"/>
      </w:pPr>
      <w:r>
        <w:t>Erwägungen</w:t>
      </w:r>
    </w:p>
    <w:p>
      <w:r>
        <w:rPr>
          <w:b/>
        </w:rPr>
        <w:t>E. 4</w:t>
      </w:r>
    </w:p>
    <w:p>
      <w:r>
        <w:t>Sur le fond, le litige porte sur la question de savoir si l'assurée a droit à une rente d'invalidité entière dès le 1er janvier 2012, ou si, conformément à la décision entreprise, le droit à un quart de rente basé sur une invalidité de 49% du 1er janvier 2012 au 28 février 2014, la rente étant supprimée dès cette date, était justifiée.</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pas déterminante pour le calcul de l'invalidité lorsque la</w:t>
      </w:r>
    </w:p>
    <w:p>
      <w:r>
        <w:t>A/1472/2015 - 28/37 -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A/1472/2015 - 22/37 -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A/1472/2015 - 23/37 -</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11</w:t>
      </w:r>
    </w:p>
    <w:p>
      <w:r>
        <w:t>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w:t>
      </w:r>
    </w:p>
    <w:p>
      <w:r>
        <w:t>A/1472/2015 - 24/37 -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w:t>
      </w:r>
    </w:p>
    <w:p>
      <w:r>
        <w:rPr>
          <w:b/>
        </w:rPr>
        <w:t>E. 12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A/1472/2015 - 25/37 - l'essentiel que des éléments qui trouvent leur explication et leur source dans le champ socioculturel ou psychosocial, il n'y a pas d'atteinte à la santé à caractère invalidant (ATF 127 V 294 consid. 5a in fine).</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w:t>
      </w:r>
    </w:p>
    <w:p>
      <w:r>
        <w:t>A/1472/2015 - 26/37 -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17</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18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w:t>
      </w:r>
    </w:p>
    <w:p>
      <w:r>
        <w:t>A/1472/2015 - 27/37 -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w:t>
      </w:r>
    </w:p>
    <w:p>
      <w:r>
        <w:rPr>
          <w:b/>
        </w:rPr>
        <w:t>E. 19</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rPr>
          <w:b/>
        </w:rPr>
        <w:t>E. 20</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88a du règlement du 17 janvier 1961 sur l’assurance-invalidité du 17 janvier 1961 (RAI - RS 831.201) si la capacité de gain ou la capacité</w:t>
      </w:r>
    </w:p>
    <w:p>
      <w:r>
        <w:t>A/1472/2015 - 29/37 -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w:t>
      </w:r>
    </w:p>
    <w:p>
      <w:r>
        <w:rPr>
          <w:b/>
        </w:rPr>
        <w:t>E. 21</w:t>
      </w:r>
    </w:p>
    <w:p>
      <w:r>
        <w:t>Le résultat exact du calcul doit être arrondi au chiffre en pour cent supérieur ou inférieur selon les règles applicables en mathématiques (ATF 130 V 121 consid. 3, modifiant la jurisprudence publiée aux ATF 127 V 129, consid. 3).</w:t>
      </w:r>
    </w:p>
    <w:p>
      <w:r>
        <w:rPr>
          <w:b/>
        </w:rPr>
        <w:t>E. 22</w:t>
      </w:r>
    </w:p>
    <w:p>
      <w:r>
        <w:t>Dans le cas d'espèce la recourante fait grief à l'intimé d'avoir retenu de façon inexacte qu'elle disposerait d'une capacité de travail dans une activité adaptée de 75 % à compter du 13 décembre 2013. Elle reproche en particulier à l'expert d'avoir retenu qu'entre 2012 et 2014, le médecin traitant, bien que décrivant l'état de santé de sa patiente comme stationnaire aurait vu la capacité de travail se dégrader, de 50 % dans une activité adaptée, à une capacité de travail peu probable, même dans une activité adaptée, puis enfin à une incapacité totale. Elle critique le fait que l'expert n'ait cité pour sa démonstration que deux rapports du premier semestre 2012, puis un rapport du premier trimestre 2014. Reprochant à l'expert d'avoir considéré que le médecin traitant se serait laissé influencer par les plaintes subjectives de sa patiente, la recourante suggère que l'expert serait parvenu à cette conclusion en négligeant les deux rapports intermédiaires du médecin traitant, intervenus en 2013 : selon elle, si l'expert avait pris en compte ces rapports, il aurait pu y constater la dégradation progressive de la capacité résiduelle de travail, dans une activité adaptée, aboutissant au début 2014 à une incapacité totale, même dans une telle activité. Ainsi, selon la recourante, si l'expert avait procédé au constat de cette évolution, y compris pendant l'année 2013, il n'aurait pas abouti à la conclusion que le médecin traitant aurait été influencé dans son appréciation en raison des plaintes réitérées de la patiente. Ce raisonnement ne résiste pas à l'examen. En effet, le rapport de l'expertise bidisciplinaire, rhumatologique et psychiatrique, se fonde non seulement sur l'étude complète des documents médicaux mis à disposition des experts, qui en ont fait un résumé détaillé, décrivant l'essentiel du contenu des documents médicaux importants, n'émanant pas seulement du médecin traitant, mais également des autres praticiens qui ont examiné la patiente, au cours des ans, établi des rapports de consultation à l’attention du médecin traitant, voire qui ont directement traité la patiente. S'agissant du médecin traitant, dans leur</w:t>
      </w:r>
    </w:p>
    <w:p>
      <w:r>
        <w:t>A/1472/2015 - 30/37 - résumé les experts n'ont pas seulement retenu les rapports intermédiaires de 2012 et du début 2014, mais également le rapport initial du 5 septembre 2011. Si en effet les rapports de 2013 ne sont pas inventoriés comme tels dans le résumé, cela ne signifie pas qu'ils aient été ignorés par les experts, mais tout au plus qu'ils n'apportaient rien à la compréhension de l'évolution de l'état de santé de la recourante : comme les rapports de 2012 et de 2014, ces documents décrivaient une situation stable, un diagnostic constant, ces deux éléments montrant l'essentiel, soit la persistance de septembre 2011 à 2014 d'un état de santé stationnaire, du même diagnostic, ne pouvant expliquer l'évolution de la capacité de travail résiduelle de 50 % en septembre 2011, à 0 % au début 2014. Le rapport du 8 janvier 2014 est d'ailleurs pratiquement superposable à celui du 16 juillet 2013. Or, les experts n'ont pas seulement abouti à leurs conclusions sur la seule base des rapports du médecin traitant : ils se sont également fondés sur le rapport du Dr H______, qui relevait, en décembre 2013, que les limitations fonctionnelles subjectives de la patiente devaient être mises en lien avec des freins psychologiques, voire psychiatriques. Les experts se fondent également sur leur propre observation de la patiente, soutenue par une anamnèse complète, un status général détaillé, tous éléments ayant conduit l'expert rhumatologue à poser les diagnostics de lombosciatalgies chroniques dans le cadre d'une arthrose postérieure étagée et de discopathie étagée de L3 à S1 et d'une spondylodèse de L4 à S1, ayant une répercussion durable sur la capacité de travail, et à l'expert psychiatre de retenir celui de majoration de symptômes physiques pour des raisons psychologiques, sans comorbidité psychiatrique (F68.0), sans répercussion sur la capacité de travail. Dans la discussion, l'expert a décrit ses examens de façon détaillée, en les comparant le cas échéant aux clichés radiologiques : il a finalement retenu que les anomalies relevées à l'examen clinique et sur les clichés radiologiques expliquent en partie (seulement) les plaintes de l'assurée. L'expert relève encore que certains tests ne sont pas cohérents, qu'à l'examen on relève la présence de signes de non-organicité, que l'assurée dit avoir une mauvaise tolérance de la position assise alors qu'elle indique se rendre deux fois par année au Portugal… L'expert relève que les douleurs et les auto-limitations de l'assurée ne s'expliquent pas entièrement du point de vue organique. Selon ses propres constatations, une marche rapide, une mobilité et une gestuelle spontanée libre aux quatre membres, sans déficit de force, de même que la tolérance partielle de la position assise, ne justifient pas une incapacité de travail complète dans une activité adaptée. Concernant la discopathie protrusive étagée et l'uncarthrose modérée de la colonne cervicale, les manifestations douloureuses étaient déjà présentes alors que l'assurée travaillait. Les douleurs n'ont pas évolué au cours des dernières années. Au vu de la présence radiologique de troubles dégénératifs, des mesures de protection du rachis cervical se justifient : éviter les mouvements répétitifs de rotation, les postures penchée en avant prolongées ou en hyperextension. L'atteinte cervicale n'est pas suffisamment sévère pour justifier une limitation de la capacité de travail dans une activité adaptée à ces limitations.</w:t>
      </w:r>
    </w:p>
    <w:p>
      <w:r>
        <w:t>A/1472/2015 - 31/37 - Sur le plan psychiatrique l'assurée ne bénéficie pas d'une prise en charge psychiatrique ambulatoire et son état n'a pas nécessité d'hospitalisation en milieu psychiatrique. Dans le cadre des douleurs chroniques le médecin traitant a introduit un traitement médicamenteux psychotrope. Selon le rapport de ProMiDos, une composante psychique semble participer au tableau de lombosciatalgies chroniques. Le médecin traitant a conseillé à l'assuré à plusieurs reprises de consulter le Dr I______, mais elle n'y a pas donné suite. L'examen psychiatrique n'a pas montré de dépression majeure, de décompensation psychotique, d'anxiété généralisée, de troubles dissociatifs, de perturbation de l'environnement psychosocial qui est normal, ni de limitations fonctionnelles psychiatriques à caractère incapacitant. L'assurée présente une amplification verbale de ses plaintes somatiques accompagnée d'un sentiment de détresse, sans comportement algique et les experts ont retenu le diagnostic de majoration des symptômes physiques pour des raisons psychologiques, qui est caractérisé par la présence de symptômes physiques compatibles avec un trouble, une maladie ou un handicap physique, mais amplifié ou entretenu par l'état psychique du patient. Ce trouble n'est pas accompagné d'une comorbidité psychiatrique manifeste, d'une perte d'intégration sociale dans toutes les manifestations de la vie, d'un état psychique cristallisé ou profit tiré de la maladie. Selon la jurisprudence actuelle, les critères de sévérité ne sont pas réunis et fondent un pronostic favorable. Les quelques traits de personnalité borderline et impulsifs sont discrets et ne permettent pas de retenir un trouble spécifique de ce registre. En conclusion, sur le plan purement psychiatrique, l’assurée ne souffre d'aucune pathologie psychiatrique aiguë ou chronique à caractère incapacitant. La capacité de travail exigible est de 100 % dans toute activité qui respecte les limitations fonctionnelles somatiques. S'agissant spécifiquement du taux de 75 % de capacité de travail dans une activité adaptée, retenu par les experts, ceux-ci ont tout d'abord énuméré les limitations fonctionnelles retenues, et ont conclu que celles-ci n'étaient pas compatibles avec une activité de nettoyeuse. Ils ont en revanche considéré que les douleurs à composante neurogène irradiant le long du membre inférieur gauche les amenaient à retenir la nécessité de pauses supplémentaires également dans une activité adaptée correspondant à une incapacité de travail de 25 %. On comprend ainsi que dans une activité adaptée aux limitations fonctionnelles, ces douleurs irradiant le long de la jambe gauche commandaient des pauses supplémentaires. La fréquence de ces interruptions nécessaires dans l'activité équivalait selon les experts à une incapacité de travail de 25 %. D'où en résulte une capacité de travail de 75 %. S'agissant de fixer la date d'exigibilité pour l'exercice d'une activité adaptée, les experts ont expliqué les raisons pour lesquelles ils retenaient la date du 17 décembre 2013 : cette date correspond à la fin de la prise en charge multidisciplinaire du dos, prise en charge qui avait permis d'améliorer le confort de l'assurée dans ses activités comme l'habillage. Ils se réfèrent au rapport du Dr H______ du 18 décembre 2013. Or, ce rapport précise dans un premier temps</w:t>
      </w:r>
    </w:p>
    <w:p>
      <w:r>
        <w:t>A/1472/2015 - 32/37 - que la prise en charge physiothérapeutique hebdomadaire a visé le renforcement autonome sur machines ainsi que le contrôle des auto-exercices de type gainage. L'ergothérapie a revu la manière de lever le tronc et les membres inférieurs qui se fait d’une façon autonome, lente mais sans aucune aide de moyens auxiliaires. Au niveau psychiatrique, la patiente a bénéficié d'une prise en charge au groupe parole hebdomadaire qui relève une patiente creuse, vide, qui n'a pas, objectivement ou subjectivement, bénéficié de ce suivi. Le Dr H______ retient en conclusion que l'objectif fonctionnel d'habillage qui avait pour but d'augmenter le confort de la patiente a été atteint. Il n'y avait actuellement pas d'intérêt à poursuivre une physiothérapie de type renforcement mais plutôt des séances d'ergothérapie en ambulatoire pour prise en charge des limitations fonctionnelles subjectives qui sont en lien avec des freins psychologiques/psychiatriques. Arrêter une date précise pour déterminer le dies a quo de la capacité d'une personne à exercer une activité adaptée, comme dans le cas particulier, peut prêter à discussion. Toutefois, en l'espèce, contrairement à ce qu'allègue la recourante, les experts du SMR ont fixé cette date du 17 décembre 2013 au terme d'un raisonnement cohérent. Elle coïncide avec la fin du programme multidisciplinaire individualisé du dos (ProMiDos) - du 19 septembre au 16 décembre 2013 -. Or, au vu des conclusions rappelées ci-devant, le traitement de physiothérapie avait atteint son but, et l'ergothérapie dont elle avait bénéficié avait également porté ses fruits, mais dès ce moment-là, ni l'un ni l'autre de ces traitements ne permettait d’escompter un bénéfice supplémentaire pour la patiente. Sur le plan psychiatrique, ou psychologique, celle-ci n'avait au demeurant pas su profiter ni objectivement et subjectivement du suivi qui lui avait été proposé. Il paraissait donc logique, au degré de la vraisemblance prépondérante, de retenir qu'à tout le moins dès la date coïncidant avec la fin de ce programme la recourante devait être considérée comme capable de travailler dans une activité adaptée tenant compte des limitations fonctionnelles admises selon la documentation médicale versée au dossier, et de la limitation supplémentaire de 25 % (qui coïncide à vrai dire avec une diminution de rendement), résultant des propres observations des experts. Il faut d'ailleurs voir dans le choix de cette date un terme plutôt favorable à la recourante : les experts auraient pu tout aussi bien fixer une date même antérieure au stage, soit en septembre 2013, au vu du rapport du Dr H______ du 19 septembre 2013. Prétendre, comme le soutient la recourante, qu'il apparaît incompréhensible que les experts se soient appuyés sur le rapport du Dr H______ pour arrêter la date déterminante, au motif qu’il ne s'était jamais prononcé sur la capacité de travail de l’assurée, et de surcroît car l'objectif de la prise en charge multidisciplinaire ProMiDos était limité, d'un point de vue fonctionnel, à l'amélioration du confort de cette dernière, n'est pas convaincant : s'agissant du premier argument, la chambre de céans observe que les experts ne se sont pas fondés sur ce rapport en particulier pour fixer la capacité de travail, mais seulement pour en arrêter une date, comme développé ci-dessus ; quant au deuxième argument (objectif limité dudit stage), il démontre en effet que le bénéfice escompté de ce stage n'était pas celui de voir améliorer la capacité de</w:t>
      </w:r>
    </w:p>
    <w:p>
      <w:r>
        <w:t>A/1472/2015 - 33/37 - travail dans une activité adaptée, mais d'améliorer le confort de la patiente dans certains actes de la vie quotidienne, raison pour laquelle la date arrêtée par les experts au 17 décembre 2013 aurait tout aussi bien pu être fixée à une date antérieure au programme multidisciplinaire individualisé. Le fait que les experts n'arrivent pas aux mêmes conclusions que le médecin traitant, s'agissant de fixer la capacité résiduelle de travail de la recourante, ne signifie pas encore que le résultat auquel ils parviennent ne soit pas fiable : comme cela a déjà été relevé, les experts ont indiqué de façon motivée les raisons pour lesquelles ils ne pouvaient pas retenir l'avis du médecin traitant, par rapport à la capacité de travail résiduelle de l'assurée. Conformément à la jurisprudence rappelée ci-dessus, la chambre de céans considère que les experts du SMR aboutissent à des résultats convaincants ; leurs conclusions sont sérieusement motivées, et leur avis ne contient pas de contradictions; aucun indice concret ne permet de mettre en cause leur bien-fondé. Les points litigieux importants ont fait l'objet d'une étude fouillée ; le rapport se fonde sur des examens complets, et prend également en considération les plaintes exprimées ; il a enfin été établi en pleine connaissance du dossier (anamnèse), et la description des interférences médicales est claire. Ainsi peut-il être reconnu à ce rapport une pleine valeur probante. Quant au médecin traitant de la recourante, il n'a jamais remis en cause les conclusions des experts : au contraire, par courrier du 8 janvier 2015, après examen du projet de décision du 4 décembre 2014, il a admis que la capacité résiduelle de travail de sa patiente était estimée à 75 %, mais avec les restrictions qu'il a énumérées. Loin de remettre en cause les conclusions des experts, il y adhère au contraire. A fortiori n'a-t-il pas mis en évidence la moindre contradiction ou élément permettant de douter de la fiabilité de l'avis des experts ainsi que de leurs conclusions. Il en va d'ailleurs de même de son courrier du 16 avril 2015, postérieur à la décision entreprise, dans lequel il allègue une aggravation de l'état de santé de sa patiente, depuis plusieurs semaines. S'adressant à l'OAI, rapportant pour l'essentiel les plaintes actuelles de l'assurée, il sollicite de l'intimé une nouvelle étude du dossier en vue de l'octroi d'une rente entière d'invalidité. Étant rappelé au passage que le juge des assurances sociales rend sa décision en fonction de l'état de fait qui prévalait au moment de la décision entreprise, il appartenait à la recourante, respectivement à son médecin, de saisir l'OAI d'une nouvelle demande de révision. En l'occurrence, ce courrier du 16 avril 2015 a été soumis au SMR, lequel a relevé dans son rapport du 1er juin 2015, versé à la procédure, que le médecin traitant ne fournit aucun élément objectif permettant de justifier l'affirmation d'une détérioration de l'état de santé de sa patiente, avec une exacerbation des douleurs, depuis quelques semaines (en avril 2015). Ainsi, l'avis des experts ne saurait être remis en cause, de sorte que la décision entreprise, en tant qu'elle se fonde sur le rapport d'expertise du SMR, échappe à toute critique.</w:t>
      </w:r>
    </w:p>
    <w:p>
      <w:r>
        <w:t>A/1472/2015 - 34/37 - Il n'y a dès lors pas lieu d'ordonner une expertise judiciaire comme y conclut subsidiairement la recourante.</w:t>
      </w:r>
    </w:p>
    <w:p>
      <w:r>
        <w:rPr>
          <w:b/>
        </w:rPr>
        <w:t>E. 23</w:t>
      </w:r>
    </w:p>
    <w:p>
      <w:r>
        <w:t>Dans un autre grief, la recourante s'en prend aux conclusions de l'enquête ménagère, et conteste les taux d'empêchements retenus. La recourante ne conteste pas le statut mixte retenu, ni les pourcentages entre l'activité professionnelle (22 %) et l'activité dévolue aux tâches ménagères (78 %). Indépendamment du rapport entre la part active et les activités ménagères, la recourante croit voir une incohérence à considérer d'une part qu'on lui reconnaîtrait une capacité de travail résiduelle dans une activité adaptée à hauteur de 75 % alors que, sans exigibilité, on lui reconnaîtrait un taux d'empêchement de 62 % dans l'exécution des tâches ménagères. Ce qui selon elle serait aberrant, dès lors que son ancienne profession, dans le nettoyage, ferait appel aux mêmes types de gestes et compétences. Cette argumentation tombe à faux : il est constant tout d'abord que la recourante est totalement incapable de reprendre une activité professionnelle de nettoyeuse, au vu des limitations fonctionnelles retenues de façon concordante par les divers médecins qui l'ont examinée, traitée ou expertisée. En revanche, la capacité résiduelle de travail fixée à hauteur de 75 % dans une activité adaptée ne vise évidemment pas un emploi de nettoyeuse. D'autre part et surtout, conformément à la jurisprudence, les conditions dans lesquelles une assurée effectue des tâches de nettoyage, professionnellement, ne peuvent pas être comparées à celles dans lesquelles elle se consacre aux tâches ménagères, dans son propre foyer. Elle a en effet toute latitude de s'organiser, en adaptant sa méthode de travail à ses limitations fonctionnelles, et en prenant toutes dispositions pour améliorer sa capacité de travail dans ce contexte, comme le lui impose d'ailleurs l'obligation de réduire le dommage. Dans son propre foyer, elle ne doit pas répondre à une obligation de rendement, de sorte que ce qui n'est plus possible dans le cadre d'une activité professionnelle peut encore l'être dans le domaine des tâches ménagères, moyennant les adaptations nécessaires et l'aide naturelle de l'entourage familial, généralement les enfants et le conjoint, qui font ménage commun avec elle.</w:t>
      </w:r>
    </w:p>
    <w:p>
      <w:r>
        <w:rPr>
          <w:b/>
        </w:rPr>
        <w:t>E. 24</w:t>
      </w:r>
    </w:p>
    <w:p>
      <w:r>
        <w:t>La recourante critique encore le taux d'empêchement retenu dans certaines rubriques spécifiques comme la lessive et l’entretien des vêtements, la conduite de son ménage, et le taux d'exigibilité de 30 % pris en compte pour l'aide et la participation apportée par son mari aux tâches ménagères. Ce taux serait injustifié dès lors que son mari serait absent du domicile toute la journée, au travail. Elle allègue encore que l'enquêtrice aurait retenu deux fois cette contribution du mari comme facteur de baisse: la première en portant le taux d'exigibilité à 30 % et la seconde, en réduisant le taux d'empêchement en raison de l'aide apportée. Ce grief est totalement infondé: il procède d'une mauvaise lecture sinon d'une incompréhension du tableau reproduit ci-dessus (En Fait, ad ch. 23 p. 12). Ceci dit le rapport d'enquête ménagère répond en tous points aux exigences de la jurisprudence rappelée précédemment pour qu'un tel document se voie reconnaître</w:t>
      </w:r>
    </w:p>
    <w:p>
      <w:r>
        <w:t>A/1472/2015 - 35/37 - une pleine valeur probante: il a été élaboré par une personne qualifiée qui a connaissance de la situation locale et spatiale, ainsi que des empêchements et des handicaps résultant des diagnostics médicaux. Il tient compte des indications de l'assurée. Enfin, le texte du rapport apparaît plausible, il est motivé et rédigé de manière suffisamment détaillée par rapport aux différentes limitations, de même correspond-il aux indications relevées sur place. Ce rapport d’enquête a donc pleine valeur probante ; et dès lors le juge n’intervient pas dans l’appréciation de son auteur. On relèvera au demeurant que la recourante ne motive aucune de ses critiques, par une argumentation mettant en évidence des éléments objectifs susceptibles de jeter un doute sur les conclusions de ce rapport. On remarquera enfin que, s'agissant de l'exigibilité retenue, l’enquêtrice précise bien que seule a été retenue l'aide apportée par le mari de la recourante qui fait ménage commun avec elle. Celle apportée par les filles – n'habitant plus au domicile de leurs parents -, mais qui selon la recourante viennent chacune régulièrement (plusieurs fois par semaine) faire quelques tâches ménagères, à sa demande quand elle a « vu ce qu'il y avait à faire dans la conduite du ménage », ou spontanément à l'occasion de leurs visites. On ne saurait dès lors que rejeter les griefs formés à l'encontre de ce rapport d'enquête.</w:t>
      </w:r>
    </w:p>
    <w:p>
      <w:r>
        <w:rPr>
          <w:b/>
        </w:rPr>
        <w:t>E. 25</w:t>
      </w:r>
    </w:p>
    <w:p>
      <w:r>
        <w:t>La recourante a enfin critiqué la manière dont a été calculé son « taux d'incapacité». Elle reproche à l'intimé d'avoir pris pour base un revenu tiré des statistiques officielles correspondant à l'enquête suisse sur la structure des salaires, méthode ne permettant pas d'opérer des abattements supplémentaires pour les limitations (fonctionnelles en particulier). Elle vise en réalité la détermination du degré d'invalidité à laquelle l'intimé a procédé, le 11 novembre 2014. L'intimé a procédé conformément aux principes légaux et jurisprudentiels rappelés ci-dessus : lorsqu'il y a lieu d'appliquer la méthode mixte d'évaluation, l'invalidité des assurés pour la part qu'ils consacrent à leur activité lucrative doit être évaluée selon la méthode ordinaire de comparaison des revenus (art. 28a al. 3 LAI en corrélation avec l'art. 16 LPGA) : lorsque la personne assurée ne peut plus exercer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(ATF 125 V 146 consid. 5a et 5c/bb). C'est bien ainsi que l'intimé a procédé dans le cas particulier, en expliquant au demeurant en plus de détails comment il avait déterminé le revenu avec invalidité, respectivement le revenu sans invalidité.</w:t>
      </w:r>
    </w:p>
    <w:p>
      <w:r>
        <w:t>A/1472/2015 - 36/37 - La recourante ne conteste pas le principe selon lequel, lorsque le revenu tiré des statistiques officielles de l'enquête suisse sur la structure des salaires est pris en compte pour le calcul du taux d'invalidité, un abattement supplémentaire pour les limitations fonctionnelles en particulier ne peut être appliqué. Elle considère en revanche que cette manière de procéder est choquante, dès lors que cette méthode ne tiendrait pas compte des limitations effectives. On ne saurait la suivre dans ce raisonnement : en effet, comme l'intimé l'a du reste expressément rappelé à l'appui de ses calculs, les limitations fonctionnelles, l'activité légère seule possible ou le taux d'occupation d'un assuré sont pris en compte dans la capacité de travail résiduelle déterminée par le SMR. En conséquence, ce grief est injustifié lui aussi.</w:t>
      </w:r>
    </w:p>
    <w:p>
      <w:r>
        <w:rPr>
          <w:b/>
        </w:rPr>
        <w:t>E. 26</w:t>
      </w:r>
    </w:p>
    <w:p>
      <w:r>
        <w:t>Entièrement mal fondé, le recours sera rejeté. Etant donné que depuis le 1er juillet 2006, la procédure n'est plus gratuite (art. 69 al. 1bis LAI), il y a lieu de condamner la recourante au paiement d'un émolument de CHF 200.-</w:t>
      </w:r>
    </w:p>
    <w:p>
      <w:r>
        <w:t>A/1472/2015 - 37/37 -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