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ATAS/592/2013 vom 12. Juni 2013</w:t>
      </w:r>
    </w:p>
    <w:p>
      <w:r>
        <w:t>GE Cour de justice, 2013-06-12, FR</w:t>
      </w:r>
    </w:p>
    <w:p>
      <w:r>
        <w:rPr>
          <w:b/>
        </w:rPr>
        <w:t xml:space="preserve">Quelle: </w:t>
      </w:r>
      <w:r>
        <w:t>https://mcp.opencaselaw.ch/entscheid/ge_gerichte_ATAS_592_2013</w:t>
      </w:r>
    </w:p>
    <w:p>
      <w:r>
        <w:t>FR: GE_GERICHTE ATAS/592/2013 du 12 juin 2013</w:t>
      </w:r>
    </w:p>
    <w:p>
      <w:r>
        <w:t>IT: GE_GERICHTE ATAS/592/2013 del 12 giugno 2013</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t>- 9/12-</w:t>
      </w:r>
    </w:p>
    <w:p>
      <w:r>
        <w:t>A/911/2013</w:t>
      </w:r>
    </w:p>
    <w:p>
      <w:r>
        <w:rPr>
          <w:b/>
        </w:rPr>
        <w:t>E. 2</w:t>
      </w:r>
    </w:p>
    <w:p>
      <w:r>
        <w:t>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Dès lors,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consid. 2.3 et réf. y citées, à savoir THONNEY/GAMMETER, Alcool: problèmes psychiatriques courants. « La boîte à outils du praticien », Revue médicale de la Suisse romande, 2004; 124: p. 415 ss; Roland GAMMETER, Comorbidités psychiatriques associées à la dépendance à</w:t>
      </w:r>
    </w:p>
    <w:p>
      <w:r>
        <w:t>- 10/12-</w:t>
      </w:r>
    </w:p>
    <w:p>
      <w:r>
        <w:t>A/911/2013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consid. 2.4).</w:t>
      </w:r>
    </w:p>
    <w:p>
      <w:r>
        <w:rPr>
          <w:b/>
        </w:rPr>
        <w:t>E. 3</w:t>
      </w:r>
    </w:p>
    <w:p>
      <w:r>
        <w:t>En l'espèce, il s'avère que l'anamnèse du Dr F____________ est manifestement incomplète, au vue des éléments apportés par le Dr G____________. Les prémisses de son expertise, selon lesquelles il n'y a "aucune problématique observée ou documentée" dans sa famille (p. 14 expertise), sont dès lors erronées. Par ailleurs, l'expertise ne permet pas de comprendre pourquoi le recourant est devenu toxicomane, les éléments relatés de son enfance et son adolescence étant sommaires. Enfin, il est difficile de comprendre pourquoi les appréciations de l'expert et des médecins traitant sont diamétralement opposées. Cela étant, l'expertise du Dr F____________ n'emporte pas la conviction de la Cour, raison pour laquelle il est nécessaire de procéder à une expertise judiciaire psychiatrique.</w:t>
      </w:r>
    </w:p>
    <w:p>
      <w:r>
        <w:rPr>
          <w:b/>
        </w:rPr>
        <w:t>E. 4</w:t>
      </w:r>
    </w:p>
    <w:p>
      <w:r>
        <w:t>Comment a évolué cette capacité de travail depuis janvier 2005 ?</w:t>
      </w:r>
    </w:p>
    <w:p>
      <w:r>
        <w:rPr>
          <w:b/>
        </w:rPr>
        <w:t>E. 5</w:t>
      </w:r>
    </w:p>
    <w:p>
      <w:r>
        <w:t>La toxicomanie a-t-elle vraisemblablement provoqué un dommage permanent ? Dans l'affirmative, quelles limitations engendrent les atteintes irréversibles et quelles sont leurs répercussions sur la capacité de travail ?</w:t>
      </w:r>
    </w:p>
    <w:p>
      <w:r>
        <w:rPr>
          <w:b/>
        </w:rPr>
        <w:t>E. 6</w:t>
      </w:r>
    </w:p>
    <w:p>
      <w:r>
        <w:t>Quelle est l'influence du traitement de substitution (méthadone) sur la capacité de travail ?</w:t>
      </w:r>
    </w:p>
    <w:p>
      <w:r>
        <w:rPr>
          <w:b/>
        </w:rPr>
        <w:t>E. 7</w:t>
      </w:r>
    </w:p>
    <w:p>
      <w:r>
        <w:t>Au cas où le traitement de substitution devait diminuer la capacité de travail, est-il exigible que le recourant devienne abstinent de ce traitement ?</w:t>
      </w:r>
    </w:p>
    <w:p>
      <w:r>
        <w:rPr>
          <w:b/>
        </w:rPr>
        <w:t>E. 8</w:t>
      </w:r>
    </w:p>
    <w:p>
      <w:r>
        <w:t>En cas de diminution de la capacité de travail en raison du traitement de substitution, quelle serait vraisemblablement la capacité de travail de l'expertisé sans ce traitement ?</w:t>
      </w:r>
    </w:p>
    <w:p>
      <w:r>
        <w:rPr>
          <w:b/>
        </w:rPr>
        <w:t>E. 9</w:t>
      </w:r>
    </w:p>
    <w:p>
      <w:r>
        <w:t>Si la capacité de travail devait être réduite en raison du traitement de substitution, quelles sont les causes de la toxicomanie in casu?</w:t>
      </w:r>
    </w:p>
    <w:p>
      <w:r>
        <w:rPr>
          <w:b/>
        </w:rPr>
        <w:t>E. 10</w:t>
      </w:r>
    </w:p>
    <w:p>
      <w:r>
        <w:t>Comment vous déterminez-vous sur l'expertise du Dr F___________ ?</w:t>
      </w:r>
    </w:p>
    <w:p>
      <w:r>
        <w:t>- 12/12-</w:t>
      </w:r>
    </w:p>
    <w:p>
      <w:r>
        <w:t>A/911/2013</w:t>
      </w:r>
    </w:p>
    <w:p>
      <w:r>
        <w:rPr>
          <w:b/>
        </w:rPr>
        <w:t>E. 11</w:t>
      </w:r>
    </w:p>
    <w:p>
      <w:r>
        <w:t>Quel est votre pronostic ? D. Invite le Dr I____________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