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ATAS/592/2012 vom 7. Mai 2012</w:t>
      </w:r>
    </w:p>
    <w:p>
      <w:r>
        <w:t>GE Cour de justice, 2012-05-07, FR</w:t>
      </w:r>
    </w:p>
    <w:p>
      <w:r>
        <w:rPr>
          <w:b/>
        </w:rPr>
        <w:t xml:space="preserve">Quelle: </w:t>
      </w:r>
      <w:r>
        <w:t>https://mcp.opencaselaw.ch/entscheid/ge_gerichte_ATAS_592_2012</w:t>
      </w:r>
    </w:p>
    <w:p>
      <w:r>
        <w:t>FR: GE_GERICHTE ATAS/592/2012 du 7 mai 2012</w:t>
      </w:r>
    </w:p>
    <w:p>
      <w:r>
        <w:t>IT: GE_GERICHTE ATAS/592/2012 del 7 maggio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(art. 22 al. 2 LFLP; ATF 128 V 230; ATF 129 V 444). Les paiements en espèce effectués durant le mariage ne sont pas pris en compte (art. 22 al. 2 LFLP).</w:t>
      </w:r>
    </w:p>
    <w:p>
      <w:r>
        <w:rPr>
          <w:b/>
        </w:rPr>
        <w:t>E. 3</w:t>
      </w:r>
    </w:p>
    <w:p>
      <w:r>
        <w:t>a) En l’espèce, le juge de première instance a ordonné le partage par moitié des avoirs de prévoyance des demandeurs. Les dates pertinentes sont, d’une part, celle du mariage, le 12 juillet 1996, d’autre part le 21 mars 2011, date à laquelle le jugement de divorce est devenu exécutoire.</w:t>
      </w:r>
    </w:p>
    <w:p>
      <w:r>
        <w:t>A/4519/2011 - 5/7 - Selon les documents produits, la prestation acquise pendant le mariage par M. C___________ est de 233'270 fr. 20 (soit 213'368 fr. 65 auprès de la CAISSE DE PENSIONS DE JP MORGAN CHASE et de 19'901 fr. 55 auprès de la FONDATION DE LIBRE PASSAGE DE LA BANQUE MIGROS) tandis que celle acquise par Mme C___________ est de 6'369 fr. 90 (soit 25'700 fr. 60 - 19'330 fr. 70 auprès de la FONDATION DE LIBRE PASSAGE DE LA BANQUE MIGROS), les intérêts ayant déjà été calculés par les institutions de prévoyance défenderesses. Ainsi M. C___________ doit à son ex-épouse le montant de 116'635 fr. 10 (233'270 fr. 20 : 2) et celle-ci lui doit le montant de 3'184 fr. 95 (6'369 fr. 90 : 2), de sorte que c’est M. C___________ qui doit à Mme C___________ le montant de 113'450 fr. 15. b) Le demandeur conteste la déduction de 19'330 fr. 70 sur l'avoir de prévoyance de la demanderesse de 25'700 fr. 60 auprès de la FONDATION DE LIBRE PASSAGE DE LA BANQUE MIGROS. Toutefois, cette déduction doit être confirmée dès lors qu'elle correspond, comme indiqué par la CIA le 10 février 2012 au montant de 12'687 fr. 25, constitué avant le jour du mariage et qui ne doit ainsi pas faire l'objet du partage, augmenté des intérêts dus jusqu'au jour du divorce (art. 22 al. 2 LFLP).</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La demanderesse requiert le versement sur un compte bancaire, voire sur un compte de libre passage à indiquer. Selon l'art. 5 al. 1 let a LFLP, l’assuré peut exiger le paiement en espèces de la prestation de sortie lorsqu’il quitte définitivement la Suisse; l’art. 25f est réservé. Selon l'art. 25f LFLP, l’assuré ne peut exiger le paiement en espèces de l’avoir de vieillesse visé à l’art. 5, al. 1, let a, qu’il a acquis selon l’art. 15 LPP, au moment de sa sortie de l’institution de prévoyance: a. s’il continue à être obligatoirement assuré contre les risques vieillesse, décès et invalidité selon les dispositions légales d’un Etat membre de la CE; b. s’il continue à être obligatoirement assuré contre les risques vieillesse, décès et invalidité selon les dispositions légales de l’Islande et de la Norvège; c. s’il réside au Liechtenstein (al. 1). En l'espèce, la question de la possibilité pour la demanderesse d'obtenir un paiement en espèces de l'avoir de prévoyance dû par son ex-époux soit de l'objet</w:t>
      </w:r>
    </w:p>
    <w:p>
      <w:r>
        <w:t>A/4519/2011 - 6/7 - du présent litige, limité au partage des prestations de la prévoyance professionnelle. Dès lors que la demanderesse dispose d'un compte de libre passage auprès de la FONDATION DE LIBRE PASSAGE DE LA BANQUE MIGROS, le versement sera ordonné sur ce compte, charge à elle d'en requérir le versement sur un compte privé.</w:t>
      </w:r>
    </w:p>
    <w:p>
      <w:r>
        <w:rPr>
          <w:b/>
        </w:rPr>
        <w:t>E. 6</w:t>
      </w:r>
    </w:p>
    <w:p>
      <w:r>
        <w:t>Aucun émolument ne sera perçu, la procédure étant gratuite (art. 73 al. 2 LPP et 89H al. 1 de la loi sur la procédure administrative du 12 septembre 1985).</w:t>
      </w:r>
    </w:p>
    <w:p>
      <w:r>
        <w:t>A/4519/2011 - 7/7 -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