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ATAS/591/2012 vom 4. Mai 2012</w:t>
      </w:r>
    </w:p>
    <w:p>
      <w:r>
        <w:t>GE Cour de justice, 2012-05-04, FR</w:t>
      </w:r>
    </w:p>
    <w:p>
      <w:r>
        <w:rPr>
          <w:b/>
        </w:rPr>
        <w:t xml:space="preserve">Quelle: </w:t>
      </w:r>
      <w:r>
        <w:t>https://mcp.opencaselaw.ch/entscheid/ge_gerichte_ATAS_591_2012</w:t>
      </w:r>
    </w:p>
    <w:p>
      <w:r>
        <w:t>FR: GE_GERICHTE ATAS/591/2012 du 4 mai 2012</w:t>
      </w:r>
    </w:p>
    <w:p>
      <w:r>
        <w:t>IT: GE_GERICHTE ATAS/591/2012 del 4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w:t>
      </w:r>
    </w:p>
    <w:p>
      <w:r>
        <w:t>A/3590/2010 - 11/15 -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w:t>
      </w:r>
    </w:p>
    <w:p>
      <w:r>
        <w:rPr>
          <w:b/>
        </w:rPr>
        <w:t>E. 3</w:t>
      </w:r>
    </w:p>
    <w:p>
      <w:r>
        <w:t>Interjeté dans les forme et délai prescrits par les art. 60ss LPGA, le recours est recevable.</w:t>
      </w:r>
    </w:p>
    <w:p>
      <w:r>
        <w:rPr>
          <w:b/>
        </w:rPr>
        <w:t>E. 4</w:t>
      </w:r>
    </w:p>
    <w:p>
      <w:r>
        <w:t>Le litige porte sur la question de savoir si c’est à juste titre que l’intimé a refusé à l’assuré l’octroi de prestations suite à sa demande du 18 novembre 2008. En effet, force est de constater que l’on ne se trouve pas en procédure de « révision » de rente puisque l’assuré n’a bénéficié que de mesures professionnelles et de moyens auxiliaires et que, précédemment, il a disposé d’une capacité de travail pleine et entière.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A/3590/2010 - 12/15 -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l’espèce, la Cour de céans considère qu'une expertise judiciaire se justifie. En effet, les conclusions du Dr C___________ apparaissent contradictoires : il conclut que l’assuré est capable d'exercer son activité habituelle d'informaticien à raison de deux fois trois heures par jour à compter de novembre 2009 - date à laquelle la fracture du fémur s'est consolidée - alors même que, de novembre 2008 à avril 2009, il a admis une totale incapacité de travail sur la base des mêmes dorsolombalgies que celles constatées pour la période postérieure.</w:t>
      </w:r>
    </w:p>
    <w:p>
      <w:r>
        <w:t>A/3590/2010 - 13/15 - Qui plus est, la conclusion selon laquelle l’assuré serait apte à exercer à 75% une activité d’informaticien - s’exerçant en position assise - apparaît étonnante dans la mesure où ils ont pourtant admis au nombre des limitations fonctionnelles le fait de ne pouvoir rester en position assise plus d'une heure. La Cour s'interroge également sur l'alitement prolongé (20h./jour) allégué par le recourant dont le Dr F__________ a admis qu'il paraissait exagéré alors que les Drs D___________ et B___________ semblent le trouver justifié au vu des circonstances. Le Dr D___________ a certes expliqué que l'importante rigidification de la colonne avait eu pour conséquence un déplacement vers le haut de la flexion et que cela avait pu entraîner l'apparition de discarthrose et de douleurs. Elle admet cependant que la discarthrose en question doit être qualifiée de modérée - ainsi que l’avait conclu le Dr C___________ -, de sorte que l’on peine à comprendre l’ampleur des douleurs et de l’alitement alléguée. Dans ces circonstances, une expertise bidisciplinaire apparait nécessaire, également pour déterminer s’il existe des raisons objectives à l’alitement dont l’assuré affirme qu’il est nécessaire et à l'incapacité de travail qui en découle. Il conviendra également de vérifier si le ralentissement rénal a effectivement pour conséquence un accroissement de la fatigabilité et si celui-ci peut être évalué. En application de l’art. 39 de la loi sur la procédure administrative (LPA), un délai de 10 jours sera accordé aux parties pour faire valoir leurs éventuels motifs de récusation à l’encontre des experts désignés. Ensuite de quoi la présente ordonnance sera communiquée à ces derniers.</w:t>
      </w:r>
    </w:p>
    <w:p>
      <w:r>
        <w:t>***</w:t>
      </w:r>
    </w:p>
    <w:p>
      <w:r>
        <w:t>A/3590/2010 - 14/15 - PAR CES MOTIFS, LA CHAMBRE DES ASSURANCES SOCIALES : Statuant préparatoirement 1. Ordonne une expertise bidisciplinaire, rhumatologique et neurologique; 2. Commet à ces fins le Dr G_________ au CHUV pour le volet rhumatologique et la Dresse H_________, service de neuro-réhabilitation Hôpital CHUV, pour le volet neurologique; 3. Charge les experts de répondre aux questions suivantes après avoir examiné et entendu Monsieur N___________, s’être entourés de tous les éléments utiles, avoir pris connaissance du dossier de l’intimé, ainsi que de celui de la présente procédure et s’être entouré, au besoin, de l’avis de tiers : 1. Anamnèse. 2. Plaintes et données subjectives. 3. Statut clinique. 4. Constatations objectives. 5. Diagnostic(s). 6. Appréciation du cas répondant aux questions suivantes : a. Quelle est la signification de la rupture du matériel d'implant ? Est-elle à l’origine d’une importante rigidification de la colonne avec pour conséquence l'apparition d'une discarthrose et de douleurs ? b. Les prescriptions médicamenteuses (entre autres celle du Toradol) sont- elles adéquates ? Ont-elles des incidences sur la capacité de concentration ? Si oui, de quelle ampleur (en termes de baisse de rendement) ? c. Quelles sont selon vous les conséquences des infections urinaires à répétition et de l'insuffisance rénale en termes de fatigabilité et de rendement ? Est-il exact que les néphrogrammes pratiqués en septembre 2009 et octobre 2010 aient montré une perfusion, un transit et une filtration glomérulaire dans les limites de la norme et des valeurs normales de clairance ne permettant pas d’étayer une fatigabilité accrue ? d. Est-il exigible de l’assuré qu’il continue à exercer son activité d’informaticien et à quel taux (indiquer quelles sont les répercussions des atteintes à la santé de l'expertisé sur sa capacité de travail en</w:t>
      </w:r>
    </w:p>
    <w:p>
      <w:r>
        <w:t>A/3590/2010 - 15/15 - pourcent) ? Doit-on s'attendre à une diminution du rendement et, dans l'affirmative, de quelle importance, en pourcent ? e. En particulier, combien de temps l’assuré peut-il rester objectivement assis ? f. Un alitement d’une vingtaine d’heures par jour est-il objectivement justifié par la situation ? g. Une autre activité serait-elle plus adaptée ? En quoi devrait-elle consister (limitations fonctionnelles) ? A quel taux serait-elle exigible ? Doit-on s'attendre à une diminution du rendement et, dans l'affirmative, de quelle importance, en pourcent ? h. Comment a évolué la capacité de travail de l'expertisé depuis novembre 2008 ? i. La capacité de travail pourrait-elle être améliorée par des mesures médicales et dans l'affirmative, lesquelles ? j. Quelles seraient à votre avis les chances de succès d’une réadaptation professionnelle ? k. Quel est votre pronostic ? l. Avez-vous des remarques ou propositions ? 4. Invite les experts à faire une appréciation consensuelle du cas s’agissant de toutes les problématiques ayant des interférences entre elles, notamment l’appréciation de la capacité de travail résiduelle. 5. Fixe aux parties un délai de 10 jours dès réception de la présente pour une éventuelle récusation des experts nommés ; 6. Invite les experts à déposer à leur meilleure convenance un rapport en trois exemplaires à la Cour de céans ; 7. Réserve le fond ;</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