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ATAS/591/2007 vom 30. Mai 2007</w:t>
      </w:r>
    </w:p>
    <w:p>
      <w:r>
        <w:t>GE Cour de justice, 2007-05-30, FR</w:t>
      </w:r>
    </w:p>
    <w:p>
      <w:r>
        <w:rPr>
          <w:b/>
        </w:rPr>
        <w:t xml:space="preserve">Quelle: </w:t>
      </w:r>
      <w:r>
        <w:t>https://mcp.opencaselaw.ch/entscheid/ge_gerichte_ATAS_591_2007</w:t>
      </w:r>
    </w:p>
    <w:p>
      <w:r>
        <w:t>FR: GE_GERICHTE ATAS/591/2007 du 30 mai 2007</w:t>
      </w:r>
    </w:p>
    <w:p>
      <w:r>
        <w:t>IT: GE_GERICHTE ATAS/591/2007 del 30 maggio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délais prescrits, le recours est recevable (art. 56 et 60 LPGA).</w:t>
      </w:r>
    </w:p>
    <w:p>
      <w:r>
        <w:rPr>
          <w:b/>
        </w:rPr>
        <w:t>E. 4</w:t>
      </w:r>
    </w:p>
    <w:p>
      <w:r>
        <w:t>Le recours est dirigé contre la décision de non entrée en matière de l'OCAI, confirmée par décision sur opposition du 7 juillet 2006, ainsi que sur le refus de l'intimé de reconsidérer sa décision de refus de prestations du 4 novembre 2003.</w:t>
      </w:r>
    </w:p>
    <w:p>
      <w:r>
        <w:rPr>
          <w:b/>
        </w:rPr>
        <w:t>E. 5</w:t>
      </w:r>
    </w:p>
    <w:p>
      <w:r>
        <w:t>Selon l'art. 87 al. 4 RAI, lorsque la rente ou l'allocation pour impotent a été refusée parce que le degré d'invalidité était insuffisant ou parce qu'il n'y avait pas d'impotence, la nouvelle demande ne peut être examinée que si les conditions prévues à l'al. 3 sont remplies. D'après cet alinéa (dans sa teneur en vigueur à la date de la décision litigieuse), lorsqu'une demande de révision est déposée, celle-ci doit établir de façon plausible que l'invalidité ou l'impotence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w:t>
      </w:r>
    </w:p>
    <w:p>
      <w:r>
        <w:t>A/3184/2006 - 8/11 -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Cependant,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w:t>
      </w:r>
    </w:p>
    <w:p>
      <w:r>
        <w:rPr>
          <w:b/>
        </w:rPr>
        <w:t>E. 6</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w:t>
      </w:r>
    </w:p>
    <w:p>
      <w:r>
        <w:t>A/3184/2006 - 9/11 - En l’espèce, il convient d’examiner les faits tels qu’ils se présentaient lorsque l’intimé a confirmé en date du 7 juillet 2006 son refus d’entrer en matière sur la demande de révision déposée le 10 août 2005 et la décision du 25 janvier 2005 refusant l’octroi de mesures professionnelles, entrée en force. Selon le rapport établi par la Dresse G__________ en date du 30 novembre 2005, complété le 2 avril 2006, l’état de santé du recourant s’est considérablement aggravé depuis l’expertise du COMAI du 28 mars 2003, car en plus du trouble de la personnalité mixte, s’ajoutent un important repli social occasionné par un trouble anxieux généralisé et une dysthymie. Elle a relevé aussi que le recourant souffre également de troubles mentaux et du comportement liés à l’utilisation de l’alcool. L'abus chronique d'alcool, pour lequel il est suivi par l'Unité d'alcoologie des "établissement hospitalier", s'inscrit secondairement dans le cadre d'un grave trouble de la personnalité mixte. Les troubles que présentent le recourant entraînent une incapacité de travail de 100 % dès le 23 avril 2005, date de la première consultation à son cabinet. En l'occurrence, le Tribunal de céans constate que le recourant a rendu plausible une aggravation de son état de santé, de sorte que c’est à tort que l’intimé a refusé d'entrer en matière. La cause lui sera en conséquence renvoyée afin qu’il instruise la demande du recourant, notamment par la mise en oeuvre d’une expertise psychiatrique dans les meilleurs délais - comme le proposaient d'ailleurs les Drs E__________ et F__________ de la Consultation des Acacias - et rende une nouvelle décision.</w:t>
      </w:r>
    </w:p>
    <w:p>
      <w:r>
        <w:rPr>
          <w:b/>
        </w:rPr>
        <w:t>E. 7</w:t>
      </w:r>
    </w:p>
    <w:p>
      <w:r>
        <w:t>Le recourant demande la reconsidération de la décision du 4 novembre 2003, au motif qu’elle est manifestement erronée, dès lors que l’intimé s’est écarté sans motif des conclusions de l’expertise du COMAI du 28 mars 2003. La reconsidération et la révision procédurale sont réglées explicitement à l'art. 53 al. 1 et 2 LPGA,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130 V 349 s. consid. 3.5; SVR 2004 ALV n° 14 p. 43 sv. consid. 3).</w:t>
      </w:r>
    </w:p>
    <w:p>
      <w:r>
        <w:t>A/3184/2006 - 10/11 -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Il y a lieu cependant de rappeler que si l'administration peut en tout revenir sur une décision formellement passée en force, le juge des assurances sociales ne peut la contraindre à reconsidérer sa décision (cf. ATF 119 V 479 consid. 1b/cc, 117 V 12 consid. 2a). Les conclusions du recourant seront donc rejetées sur ce point.</w:t>
      </w:r>
    </w:p>
    <w:p>
      <w:r>
        <w:rPr>
          <w:b/>
        </w:rPr>
        <w:t>E. 8</w:t>
      </w:r>
    </w:p>
    <w:p>
      <w:r>
        <w:t>Au vu de ce qui précède, le recours sera partiellement admis.</w:t>
      </w:r>
    </w:p>
    <w:p>
      <w:r>
        <w:rPr>
          <w:b/>
        </w:rPr>
        <w:t>E. 9</w:t>
      </w:r>
    </w:p>
    <w:p>
      <w:r>
        <w:t>Le recourant, représenté par un avocat, a droit à une indemnité à titre de participation à ses frais et dépens que le Tribunal fixe à 1'000 fr. (art. 89H al. 3 LPA).</w:t>
      </w:r>
    </w:p>
    <w:p>
      <w:r>
        <w:t>L'émolument, fixé à 200 fr., est mis à charge de l’OCAI (cf. art. 69 al. 1bis LAI, en vigueur dès le 1er juillet 2006).</w:t>
      </w:r>
    </w:p>
    <w:p>
      <w:r>
        <w:t>***</w:t>
      </w:r>
    </w:p>
    <w:p>
      <w:r>
        <w:t>A/3184/2006 - 11/11 -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