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ATAS/590/2021 vom 9. Juni 2021</w:t>
      </w:r>
    </w:p>
    <w:p>
      <w:r>
        <w:t>GE Cour de justice, 2021-06-09, FR</w:t>
      </w:r>
    </w:p>
    <w:p>
      <w:r>
        <w:rPr>
          <w:b/>
        </w:rPr>
        <w:t xml:space="preserve">Quelle: </w:t>
      </w:r>
      <w:r>
        <w:t>https://mcp.opencaselaw.ch/entscheid/ge_gerichte_ATAS_590_2021</w:t>
      </w:r>
    </w:p>
    <w:p>
      <w:r>
        <w:t>FR: GE_GERICHTE ATAS/590/2021 du 9 juin 2021</w:t>
      </w:r>
    </w:p>
    <w:p>
      <w:r>
        <w:t>IT: GE_GERICHTE ATAS/590/2021 del 9 giugno 2021</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w:t>
      </w:r>
    </w:p>
    <w:p>
      <w:r>
        <w:t>A/3303/2019 - 8/17 - Selon la police d’assurance, le contrat est régi par la LCA. La compétence de la chambre de céans à raison de la matière pour juger du cas d’espèce est ainsi établie. b.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 let. J1 des conditions générales d’assurances (CGA), assurance de personnes Professional, applicable notamment pour l’indemnité journalière en cas de maladie pour le personnel, prévoit que pour toutes les actions au sujet du contrat d’assurance, sont compétents au choix soit les tribunaux du domicile suisse des personnes assurées ou des ayants droit, soit au lieu de leur travail en Suisse, soit Winterthur. La demanderesse étant domiciliée à Genève, la chambre de céans est compétente à raison du lieu. c. Selon l'art. 59 CPC, le tribunal n'entre en matière que sur les demandes qui satisfont aux conditions de recevabilité de l'action. Ces conditions sont examinées d’office (art. 60 CPC). La liste des conditions de recevabilité prévue à l’art. 59 al. 2 CPC n’est pas exhaustive (François BOHNET, Code de procédure civile commenté, 2011, n. 9 ad art. 59 CPC). En l’espèce, la demande a été déposée en la forme prévue à l'art. 244 CPC et elle est donc recevable. d. Selon l'art. 14 al. 1 CPC, une demande reconventionnelle peut être formée au for de l’action principale, lorsqu’elle est dans une relation de connexité avec la demande principale. En l’espèce, la recevabilité de la demande reconventionnelle doit être admise, en ce qu'elle tend à la condamnation de la demanderesse au remboursement de prestations qui lui ont été versées par la défenderesse dans le cadre des indemnités journalières réclamées par la demanderesse pour le même cas d’assurance.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3</w:t>
      </w:r>
    </w:p>
    <w:p>
      <w:r>
        <w:t>La procédure simplifiée s'applique aux litiges portant sur des assurances complémentaires à l’assurance-maladie sociale au sens de la LAMal (art. 243 al. 2 let. f CPC) et la chambre de céans établit les faits d'office (art. 247 al. 2 let. a CPC).</w:t>
      </w:r>
    </w:p>
    <w:p>
      <w:r>
        <w:t>A/3303/2019 - 9/17 -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4</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w:t>
      </w:r>
    </w:p>
    <w:p>
      <w:r>
        <w:t>A/3303/2019 - 10/17 -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5</w:t>
      </w:r>
    </w:p>
    <w:p>
      <w:r>
        <w:t>5.1. Le 23 janvier 2020, la défenderesse a fait valoir que les écritures de la demanderesse du 10 décembre 2019, et en particulier les pièces produites à l’appui de ses écritures, soit la comptabilité de la société I______ depuis 2016, étaient irrecevables, car tardives, en application de l’art. 229 CPC.</w:t>
      </w:r>
    </w:p>
    <w:p>
      <w:r>
        <w:rPr>
          <w:b/>
        </w:rPr>
        <w:t>E. 5.2</w:t>
      </w:r>
    </w:p>
    <w:p>
      <w:r>
        <w:t>Selon l’art. 225 CPC, le tribunal ordonne un second échange d’écritures, lorsque les circonstances le justifient. Lorsque la réponse comporte des conclusions reconventionnelles, le demandeur a cependant toujours un droit de déposer une nouvelle écriture (art. 224 al. 3 phr. 1). Dans ce cas, le tribunal ou son membre chargé de la conduite du procès peut choisir d’intégrer ce droit à une « réponse sur la demande reconventionnelle » dans un</w:t>
      </w:r>
    </w:p>
    <w:p>
      <w:r>
        <w:t>A/3303/2019 - 11/17 - deuxième échange d’écritures, en fixant audit demandeur un délai pour déposer un acte constituant à la fois cette réponse et la réplique (cf. notamment BSK ZPO- WILLISEGGER, art. 225 N 7). Comme toutefois la possibilité de déposer une réplique ou une duplique selon l’art. 225 privera dès lors les parties de la possibilité de compléter librement par la suite leurs allégations et offres de preuves (art. 229 al. 2 a contrario), elles doivent rester pleinement libres d’étendre ces écritures à d’autres éléments pertinents (cf. notamment BSK ZPO-WILLISEGGER, art. 225 N 11) (CR CPC-TAPPY, art. 225 N 5). Normalement le second échange d’écritures épuise le droit inconditionnel des parties d’introduire des faits et moyens de preuve nouveaux (art. 229 al. 2 a contrario), qui ne seront ensuite plus possibles qu’aux conditions de l’art. 229 al. 1 (sur l’exception à prévoir peut-être lorsque la réplique est simultanément une réponse du demandeur à une demande reconventionnelle, cf. art. 224 N 25). Selon l’art. 229 al. 1 CPC, les faits et moyens de preuve nouveaux ne sont admis aux débats principaux que s’ils sont invoqués sans retard et qu’ils remplissent l’une des conditions suivantes : a. ils sont postérieurs à l’échange d’écritures ou à la dernière audience d’instruction (novas proprement dits) ; b. ils existaient avant la clôture de l’échange d’écritures ou la dernière audience d’instruction mais ne pouvaient être invoqués antérieurement bien que la partie qui s’en prévaut ait fait preuve de la diligence requise (novas improprement dits). Selon l’art. 229 al. 2 CPC, s’il n’y a pas eu de second échange d’écritures ni de débats d’instruction, les faits et moyens de preuves nouveaux sont admis à l’ouverture des débats principaux. Selon l’art. 229 al. 3 CPC, lorsqu’il doit établir les faits d’office, le tribunal admet des faits et moyens de preuve nouveaux jusqu’aux délibérations. Conformément à l’art. 219, les règles de l’art. 229 peuvent s’appliquer mutatis mutandis en procédure simplifiée (voir en ce sens ATF 144 III 117, c. 2.2). 5.3.1. En l’espèce, les pièces produites par la demanderesse le 10 décembre 2019 sont irrecevables, car elles ont été produites après sa réplique du 3 décembre 2019 (art. 225 CPC) et qu’elles ne constituent pas des moyens de preuve nouveaux (art. 229 al. 3 CPC). 5.3.2. La pièce produite par la défenderesse le 23 janvier 2020, soit la déclaration de Mme H______ du 23 janvier 2020, constitue en revanche un nouveau moyen de preuve, qui doit être admis en application de l’art. 229 al. 2 CPC, dès lorsqu’elle a été produite avant les délibérations.</w:t>
      </w:r>
    </w:p>
    <w:p>
      <w:r>
        <w:t>A/3303/2019 - 12/17 -</w:t>
      </w:r>
    </w:p>
    <w:p>
      <w:r>
        <w:rPr>
          <w:b/>
        </w:rPr>
        <w:t>E. 6</w:t>
      </w:r>
    </w:p>
    <w:p>
      <w:r>
        <w:t>6.1. La demanderesse fonde ses prétentions sur le fait qu’elle aurait travaillé à 100% pour la société I______ dès le 1er novembre 2016. La défenderesse conteste que la demanderesse ait réellement travaillé pour la société I______ ou, à tout le moins dans la mesure annoncée, et se prévaut de l’art. 40 LCA.</w:t>
      </w:r>
    </w:p>
    <w:p>
      <w:r>
        <w:rPr>
          <w:b/>
        </w:rPr>
        <w:t>E. 6.2</w:t>
      </w:r>
    </w:p>
    <w:p>
      <w:r>
        <w:t>À teneur de l’art. 40 LCA,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 39 LCA, l'assureur n'est pas lié par le contrat envers l'ayant droit. L'art. 39 LCA précise que sur demande de l'assureur, l'ayant droit doit lui fournir tout renseignement sur les faits à sa connaissance qui peuvent servir à déterminer les circonstances dans lesquelles le sinistre s'est produit ou à fixer les conséquences du sinistre. D'un point de vue objectif, la dissimulation ou la déclaration inexacte doit ainsi porter sur des faits qui sont propres à influencer l'existence ou l'étendue de l'obligation de l'assureur; en d'autres termes, il faut que, sur la base d'une déclaration correcte des faits en question, l'assureur n'ait à verser qu'une prestation moindre ou même aucune prestation. En outre, d'un point de vue subjectif, l'ayant droit doit avoir agi avec la conscience et la volonté d'induire l'assureur en erreur, sans qu'il importe qu'il soit parvenu ou non à ses fins. L'assureur peut alors refuser toute prestation, même si la fraude ne se rapporte qu'à une partie du dommage (arrêt du Tribunal fédéral 4A_17/2011 du 14 mars 2011 consid. 2 et les références). L'art. 40 LCA formule un moyen libératoire pour l'assureur, de sorte qu'il incombe à ce dernier de prouver les faits permettant l'application de cette disposition (arrêt 5C.11/2002 du 11 avril 2002 consid. 2a, in JdT 2002 I p. 531; arrêt 5C.240/1995 du 1er février 1996 consid. 2b).</w:t>
      </w:r>
    </w:p>
    <w:p>
      <w:r>
        <w:rPr>
          <w:b/>
        </w:rPr>
        <w:t>E. 6.3</w:t>
      </w:r>
    </w:p>
    <w:p>
      <w:r>
        <w:t>En l’espèce, plusieurs éléments du dossier établissent au degré de la vraisemblance prépondérante que la demanderesse a déclaré inexactement des faits qui auraient exclu ou restreint l'obligation de la défenderesse au sens de l’art. 40 LCA. En effet, il n’apparaît pas crédible que la demanderesse ait réellement eu une activité à plein temps pour la société I______. Ses allégations sont remises en cause par le témoignage de Mme H______, qui travaillait pour la société C______, soit la première société qui a engagé la demanderesse avec un contrat similaire à celui signé pour la société I______. La témoin a déclaré que quand on lui avait demandé de faire le contrat pour la demanderesse, celle-ci était déjà enceinte et qu’elle avait pensé que c'était pour toucher de l'argent sans travailler. Elle avait peut-être travaillé, mais la témoin ne voyait pas ce qu’elle avait pu faire. Elle ne la voyait pas aller sur les chantiers. C’était la témoin qui s’occupait de la facturation pour C______, puis M. F______pour G______. La témoin ne pensait pas que la demanderesse pouvait</w:t>
      </w:r>
    </w:p>
    <w:p>
      <w:r>
        <w:t>A/3303/2019 - 13/17 - avoir un travail administratif, car elle n'avait pas de formation dans ce domaine et ne maîtrisait pas le français écrit. Elle s'était peut-être améliorée depuis lors. Plusieurs fois, la témoin avait dû s'occuper de papiers privés pour la demanderesse et son mari. La demanderesse aurait pu faire elle-même la facturation, car cela n'était pas compliqué. Par contre, il était peu probable qu’elle ait pu faire la comptabilité, à moins qu'elle ait fait une formation depuis lors. La témoin a encore relevé qu’elle n’avait quasiment jamais eu à faire avec la demanderesse, alors que c’était elle qui s’occupait de la facturation et de la comptabilité de la société C______ et que cela lui prenait un 10% de son temps. Si la demanderesse avait réellement eu une activité administrative, elle aurait eu plus de contacts avec elle. La témoin a toutefois précisé que la demanderesse était passée peut-être une fois lui amener des documents pour la facturation et qu’elle avait fait au moins une fois un paiement pour la société. Le témoignage de Mme H______ n’est pas déterminant, car celle-ci n’a pas travaillé pour la société I______ et il doit être pris avec circonspection, car quand bien même elle le nie, elle a probablement eu un différend avec l’époux de la demanderesse, comme l’a indiqué cette dernière à la chambre de céans le 26 août 2020, dès lors que Mme H______ a indiqué que MM. F______et B______ avaient quitté G______, qu’elle s’était de ce fait retrouvée seule en poursuites pour des arriérés de cette société et que M. B______ n’avait alors plus répondu à ses appels. Son témoignage constitue néanmoins un éclairage intéressant sur les activités de la société I______, de M. B______ et de la demanderesse, dont il faut tenir compte pour établir les faits, dans la mesure où il est corroboré par d’autres éléments. Les déclarations faites le 11 septembre 2017 par M. K______à la défenderesse, bien qu’ambiguës – ce qui peut s’expliquer par le fait qu’il vient du même village que la demanderesse et qu’il la soutient de ce fait, ainsi que par le fait qu’il a accepté la situation dont il est partiellement responsable – confirment que le salaire de celle-ci était très élevé pour la tâche qu’elle occupait et qu’il ne se justifiait pas vraiment. Il confirme également que la demanderesse était limitée par la langue et l’absence de qualifications et que cet engagement avait été fait à la demande de son conjoint. Mais surtout, les déclarations de la demanderesse elle-même ne sont pas convaincantes. Elle a déclaré à la chambre de céans qu’elle avait travaillé 42 heures par semaine pour les trois sociétés (C______, G______ et I______) et que son travail avait toujours été le même. Lors d’un entretien avec la défenderesse du 17 août 2017, elle a précisé qu’elle s’occupait du planning des ouvriers, de vérifier les factures et de répondre au téléphone. Une activité de la demanderesse à plein temps pour la société I______ n’est pas crédible, au vu des compétences limitées de celle- ci et des déclarations de Mme H______, selon laquelle son propre travail pour la société C______ – soit un travail plus ou moins similaire à celui que la demanderesse aurait eu pour la société I______ – correspondait à un 10%. De plus, la demanderesse a déclaré à la chambre de céans qu’elle remplaçait parfois son</w:t>
      </w:r>
    </w:p>
    <w:p>
      <w:r>
        <w:t>A/3303/2019 - 14/17 - mari sur les chantiers, sans pouvoir préciser ce que celui-ci y faisait, démontrant ainsi qu’elle pouvait affirmer faussement des faits. Il est d’autant moins crédible que la demanderesse ait travaillé à 100% pour la société I______ qu’elle a précisé que son mari n’avait travaillé pour celle-ci qu’à 20% en 2017 et 2018, en raison d’un accident. En effet, l’activité de la société reposait essentiellement sur celui-ci, puisque, selon les déclarations de Mme H______, il avait repris G______ au départ de M. D______et que c’était lui qui gérait concrètement la société et se rendait sur les chantiers. On voit mal dans ces circonstances que la société I______ ait pu générer du travail administratif à 100% pour la demanderesse, qui n’était pas capable d’écrire un courrier, ne s’occupait pas de la comptabilité et ne se rendait manifestement pas sur les chantiers. Enfin, la société I______ n’avait sans doute pas une grande activité dès novembre 2016, étant rappelé qu’elle a repris les activités de G______, qui a été déclarée une première fois en faillite le 13 avril 2016, et que sa situation économique était précaire, selon les déclarations de M. K______du 11 septembre 2017. Constituent encore des éléments faisant douter de la réelle activité de la demanderesse le fait qu’elle a toujours été payée de main à la main et que son « activité » pour la société a été annoncée très tardivement à l’OCAS pour les années 2016 et 2017, de même que les difficultés de la défenderesse à obtenir la comptabilité de la société et les déclarations fiscales de la demanderesse. En signant un contrat de travail qui indiquait une activité à 100% et un salaire mensuel de CHF 5'000.- qui ne correspondaient pas à son activité réelle, la demanderesse a fait une fausse déclaration ayant un effet sur l'obligation de prester de la défenderesse, dès lors que les indemnités journalières sont fixées sur la base du salaire de l’assuré (let. E5 CGA). La condition objective de la prétention frauduleuse est donc réalisée. La question de savoir si la demanderesse a travaillé dans une moindre mesure qu’annoncé ou pas du tout peut rester ouverte, dès lors que l'assureur peut, lorsque les conditions de l’art. 40 LCA sont réalisées, refuser toute prestation, même si la fraude ne se rapporte qu'à une partie du dommage. Sur le plan subjectif, la demanderesse a déclaré faussement et à plusieurs reprises travailler à 100% pour la société I______ dans le cadre de sa demande en paiement d’indemnités journalières dans l’intention d’obtenir ainsi des prestations indues de la défenderesse. La condition subjective est par conséquent également réalisée. Il en résulte que la demanderesse n’a pas droit aux prestations auxquelles elle a conclu dans sa demande, en application de l’art. 40 LCA.</w:t>
      </w:r>
    </w:p>
    <w:p>
      <w:r>
        <w:rPr>
          <w:b/>
        </w:rPr>
        <w:t>E. 7</w:t>
      </w:r>
    </w:p>
    <w:p>
      <w:r>
        <w:t>Reste à déterminer si la demande reconventionnelle est justifiée.</w:t>
      </w:r>
    </w:p>
    <w:p>
      <w:r>
        <w:rPr>
          <w:b/>
        </w:rPr>
        <w:t>E. 7.1</w:t>
      </w:r>
    </w:p>
    <w:p>
      <w:r>
        <w:t>Entre le 25 janvier et le 20 mai 2019, la défenderesse a payé à la demanderesse CHF 22’116.85 représentant les indemnités journalières du 19 décembre 2018 au 30 avril 2019. Elle fonde sa demande reconventionnelle sur les art. 62 ss de la loi</w:t>
      </w:r>
    </w:p>
    <w:p>
      <w:r>
        <w:t>A/3303/2019 - 15/17 - fédérale du 30 mars 1911, complétant le Code civil suisse (CO, Code des obligations - RS 220) et la jurisprudence. La demanderesse a fait valoir que la défenderesse ne pouvait réclamer le remboursement du montant qu’elle lui avait versé, en vertu de l’art. 63 al. 1 CO, car la défenderesse avait payé alors qu’elle avait des soupçons sur un travail fictif exercé par la demanderesse et ce, au moins depuis l’entretien du 17 août 2017.</w:t>
      </w:r>
    </w:p>
    <w:p>
      <w:r>
        <w:rPr>
          <w:b/>
        </w:rPr>
        <w:t>E. 7.2</w:t>
      </w:r>
    </w:p>
    <w:p>
      <w:r>
        <w:t>En l’espèce, le droit à la restitution des montants versés indûment à la demanderesse est régi par l’art. 40 LCA, qui constitue une lex specialis par rapport aux art. 62 et ss CO, étant rappelé que selon l’art. 100 al. 1 LCA, le CO est applicable au contrat d’assurance pour tout ce qui n'est pas réglé par la LCA. Selon l’art. 40 LCA, dont les conditions d’application sont réunies, la défenderesse pouvait non seulement refuser ses prestations, mais également répéter celles qu'elle avait déjà versées. Ce droit n’est donc pas conditionné à l’apport de la preuve qu’elle croyait par erreur devoir ce qu’elle a payé, selon ce que prévoit l’art. 63 CO, qui n’est pas applicable au cas d’espèce. C’est donc à tort que la demanderesse s’est prévalue de cette disposition pour soutenir que la défenderesse ne pouvait pas demander la restitution de l’indû du fait qu’elle avait des doutes au moment du versement sur la réalité de l’emploi de la demanderesse. La demande reconventionnelle est en conséquence justifiée et la demanderesse sera condamnée à verser CHF 22'116.80 à la défenderesse, soit le montant représentant les indemnités journalières qui lui ont été versées indûment.</w:t>
      </w:r>
    </w:p>
    <w:p>
      <w:r>
        <w:rPr>
          <w:b/>
        </w:rPr>
        <w:t>E. 8</w:t>
      </w:r>
    </w:p>
    <w:p>
      <w:r>
        <w:t>La défenderesse a demandé des intérêts moratoires à 5% dès le 31 mars 2019.</w:t>
      </w:r>
    </w:p>
    <w:p>
      <w:r>
        <w:rPr>
          <w:b/>
        </w:rPr>
        <w:t>E. 8.1</w:t>
      </w:r>
    </w:p>
    <w:p>
      <w:r>
        <w:t>L’intérêt compensatoire (art. 97 al. 1 CO), qui est une composante du dommage réparable dans toute responsabilité et qui résulte du fait que, entre la survenance d’un dommage et sa réparation effective (paiement de l’indemnité), le créancier des dommages-intérêts est privé de cette somme d’argent, ce qui lui cause un préjudice additionnel. Comme l’intérêt compensatoire vise à remettre le lésé dans la situation patrimoniale qui aurait été la sienne si la réparation du dommage avait eu lieu immédiatement, il court donc du jour où le dommage est subi. Dans la responsabilité fondée sur l’art. 97 et ss, et sous la réserve de la preuve d’un dommage supérieur ou inférieur, le Tribunal fédéral applique le taux de 5% prévu par l’art. 104 al. 1 CO pour les cas de demeure afin de traiter de manière semblable les diverses formes d’inexécution ou de mauvaise exécution des obligations.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w:t>
      </w:r>
    </w:p>
    <w:p>
      <w:r>
        <w:t>A/3303/2019 - 16/17 - cas d’ouverture d’une action en justice, que dès le lendemain du jour où la demande en justice a été notifiée au débiteur (arrêt du Tribunal fédéral 5C.177/2005 du 25 février 2006 consid. 6.1).</w:t>
      </w:r>
    </w:p>
    <w:p>
      <w:r>
        <w:rPr>
          <w:b/>
        </w:rPr>
        <w:t>E. 8.2</w:t>
      </w:r>
    </w:p>
    <w:p>
      <w:r>
        <w:t>En l'espèce, la défenderesse a demandé pour la première fois le remboursement des prestations versées indûment à la demanderesse dans sa demande reconventionnelle. Le dies a quo correspond ainsi au lendemain de la date à laquelle la demande reconventionnelle a été notifiée à la demanderesse principale, soit le 14 novembre 2019.</w:t>
      </w:r>
    </w:p>
    <w:p>
      <w:r>
        <w:rPr>
          <w:b/>
        </w:rPr>
        <w:t>E. 9</w:t>
      </w:r>
    </w:p>
    <w:p>
      <w:r>
        <w:t>Ni la demanderesse ni la défenderesse n'ont droit à des dépens. En effet, la première succombe (cf. art. 106 al. 1 CPC), tandis que la seconde ne peut y prétendre en raison de sa qualité d'assurance (cf. art. 22 al. 3 let. b de la loi d'application du code civil suisse et autres lois fédérales en matière civile du 28 novembre 2010 [LaCC - E 1 05] qui prévoit qu'il n'est pas prélevé de frais judiciaires, ni alloué de dépens à la charge de l'assuré, dans les causes portant sur les assurances complémentaires à l'assurance-maladie obligatoire prévue par la LAMal).</w:t>
      </w:r>
    </w:p>
    <w:p>
      <w:r>
        <w:rPr>
          <w:b/>
        </w:rPr>
        <w:t>E. 10</w:t>
      </w:r>
    </w:p>
    <w:p>
      <w:r>
        <w:t>Pour le surplus, la procédure est gratuite (art. 114 let. e CPC).</w:t>
      </w:r>
    </w:p>
    <w:p>
      <w:r>
        <w:t>A/3303/2019 - 17/17 -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