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ATAS/590/2017 vom 29. Juni 2017</w:t>
      </w:r>
    </w:p>
    <w:p>
      <w:r>
        <w:t>GE Cour de justice, 2017-06-29, FR</w:t>
      </w:r>
    </w:p>
    <w:p>
      <w:r>
        <w:rPr>
          <w:b/>
        </w:rPr>
        <w:t xml:space="preserve">Quelle: </w:t>
      </w:r>
      <w:r>
        <w:t>https://mcp.opencaselaw.ch/entscheid/ge_gerichte_ATAS_590_2017</w:t>
      </w:r>
    </w:p>
    <w:p>
      <w:r>
        <w:t>FR: GE_GERICHTE ATAS/590/2017 du 29 juin 2017</w:t>
      </w:r>
    </w:p>
    <w:p>
      <w:r>
        <w:t>IT: GE_GERICHTE ATAS/590/2017 del 29 giugno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Interjeté dans la forme et le délai prévus par la loi, compte tenu de la suspension des délais du 15 juillet au 15 août, le recours est recevable (art. 62 al. 1, 89B et 89C</w:t>
      </w:r>
    </w:p>
    <w:p>
      <w:r>
        <w:t>A/2759/2016 - 8/14 - de la loi sur la procédure administrative du 12 septembre 1985 - LPA-GE - E 5 10 ; art. 38 al. 4 et 60 al. 1 LPGA).</w:t>
      </w:r>
    </w:p>
    <w:p>
      <w:r>
        <w:rPr>
          <w:b/>
        </w:rPr>
        <w:t>E. 4</w:t>
      </w:r>
    </w:p>
    <w:p>
      <w:r>
        <w:t>Est litigieuse la prise en charge par l’intimé du traitement des atteintes - telles que mises en évidence par l’IRM du 4 mars 2016 - que l’assurée présente encore au genou gauche, singulièrement la question de savoir si ces atteintes sont en lien de causalité avec l’accident du 24 avril 2009.</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w:t>
      </w:r>
    </w:p>
    <w:p>
      <w:r>
        <w:t>A/2759/2016 - 9/14 -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Aux termes de l'art. 10 al. 1 LAA, l'assuré a droit au traitement médical approprié des lésions résultant de l'accident.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A/2759/2016 - 10/14 -</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A/2759/2016 - 11/14 - sociales, un principe selon lequel l’administration ou le juge devrait statuer, dans le doute, en faveur de l’assuré (ATF 126 V 319 consid. 5a).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10</w:t>
      </w:r>
    </w:p>
    <w:p>
      <w:r>
        <w:t>En l’occurrence, dans la décision attaquée, l’intimée, se fondant sur l’avis du Dr E______, a retenu que les lésions apparaissant sur l’IRM du 4 mars 2016 - ulcération cartilagineuse du condyle fémoral interne et chondropathie fémoro- patellaire de grade IV, notamment - résultaient de l’évolution naturelle d’atteintes maladives antérieures à l’accident du 24 avril 2009, sans lien de causalité avec celui-ci. En conséquence, il a refusé de prendre en charge le traitement médical de l’assurée dès le 1er mars 2016. La recourante argue pour sa part que son arthrose sévère du genou gauche est bel et bien en relation de causalité avec l’accident de 2009, comme en témoignent les rapports du Dr G______, de sorte que l’intimé doit continuer à prendre en charge toutes les suites de cet accident, y compris sa « rechute » de mars 2016.</w:t>
      </w:r>
    </w:p>
    <w:p>
      <w:r>
        <w:rPr>
          <w:b/>
        </w:rPr>
        <w:t>E. 11</w:t>
      </w:r>
    </w:p>
    <w:p>
      <w:r>
        <w:t>En l’espèce, on se trouve en présence d’opinions médicales diamétralement opposées, émanant de deux spécialistes en chirurgie orthopédique, soit le Dr E______, médecin-conseil de l’assureur, et le Dr G______, médecin de l’assurée. Selon le Dr E______, la chondropathie fémoro-patellaire et fémoro-tibiale de l’assurée est antérieure à l’accident d’avril 2009, car elle apparaissait déjà sur l’IRM réalisée en juin 2009 - deux mois seulement après cet accident - et n’aurait pas pu se développer dans un intervalle aussi bref, un délai de quinze à vingt ans depuis la déchirure ligamentaire lui paraissant nécessaire. De surcroît, une IRM réalisée quatre ans avant l’accident, en 2005, avait déjà montré des lésions dégénératives débutantes du ménisque interne (bord libre irrégulier, discrète subluxation et fissuration), qui se répercuteraient inéluctablement sur l’état du cartilage après quelques années. L’IRM de 2016, comme celle de 2009, montre des</w:t>
      </w:r>
    </w:p>
    <w:p>
      <w:r>
        <w:t>A/2759/2016 - 12/14 - lésions chondromalaciques du condyle fémoral interne, avec une ulcération cartilagineuse, un amincissement du cartilage fémoro-tibial interne, et une dégénérescence du ménisque interne, déjà observée en 2005. Ainsi, le Dr E______ estime que cette IRM ne fait que refléter l’évolution naturelle d’une gonarthrose antérieure à l’accident. Le Dr G______ rétorque que les atteintes dont l’assurée souffre encore au genou gauche sont bel et bien d’origine traumatique, en lien de causalité avec l’accident de 2009. En effet, l’IRM réalisée en 2005 n’a pas montré d’arthrose ou de pré- arthrose. En outre, l’affirmation selon laquelle les lésions dégénératives débutantes du ménisque observées en 2005 se répercuteraient inéluctablement sur l’état du cartilage après quelques années lui paraît hâtive, car selon la littérature médicale, de telles lésions - qui atteignent une prévalence d’environ 73% - sont « extrêmement banales » à l’âge de 41 ans. Par ailleurs, il observe qu’après la déchirure accidentelle du ligament croisé antérieur survenue en avril 2009, le genou a travaillé pendant presque une année dans de mauvaises conditions, ce qui a vraisemblablement favorisé une atteinte du cartilage. De surcroît, il est apparu à la suite de l’opération chirurgicale de mars 2010 que le greffon du ligament croisé antérieur avait été mal positionné (cf. rapport d’IRM du 7 janvier 2011), ce qui est à l’origine d’une évolution certaine vers une arthrose. Enfin, il sied de relever que le Dr D______, sans avoir été expressément invité à se prononcer sur le lien de causalité entre l’accident et les atteintes du genou gauche de l’assurée, a indiqué dans son rapport opératoire de juillet 2011 que la chondropathie de stade III de la trochlée était « probablement due à la malposition du LCA ».</w:t>
      </w:r>
    </w:p>
    <w:p>
      <w:r>
        <w:rPr>
          <w:b/>
        </w:rPr>
        <w:t>E. 12</w:t>
      </w:r>
    </w:p>
    <w:p>
      <w:r>
        <w:t>a. La Chambre de céans constate que les rapports des Drs E______ et G______ émanent de spécialistes et qu’ils sont suffisamment motivés l’un et l’autre pour que l’on ne puisse leur dénier toute valeur probante. Dans la mesure où le bilan IRM réalisé en juin 2009 - deux mois seulement après l’accident d’avril 2009 - évoquait déjà une « ébauche de gonarthrose fémoro- tibiale » du genou gauche, on peut concevoir que l’assurée ait souffert d’une telle atteinte avant son accident de ski. Toutefois, au regard des arguments avancés par le Dr G______, il faut se demander si cette gonarthrose, fût-elle préexistante, a été aggravée par l’accident et dans l’affirmative pendant combien de temps. Or, les rapports au dossier ne permettent précisément pas d’établir si et, le cas échéant, depuis quand cette gonarthrose a fait place à l’état de santé dans lequel la recourante se serait trouvée sans l’accident du 24 avril 2009 (statu quo sine).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w:t>
      </w:r>
    </w:p>
    <w:p>
      <w:r>
        <w:t>A/2759/2016 - 13/14 -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Au regard des avis motivés et contradictoires des Drs E______ et G______, des doutes subsistent quant au lien de causalité entre les atteintes du genou gauche relatées dans le rapport d’IRM du 4 mars 2016 et l’accident du 24 avril 2009, notamment sous l’angle d’un éventuel statu quo sine, de sorte qu’une instruction complémentaire s’impose. Aucune expertise n’ayant été diligentée à ce stade, la cause sera renvoyée à l’intimé pour ce faire, conformément à l’art. 44 LPGA. Partant, le recours est partiellement admis, la décision du 21 juin 2016 annulée et la cause renvoyée à l’intimé pour qu’il complète l’instruction dans le sens qui précède, puis rende une nouvelle décision.</w:t>
      </w:r>
    </w:p>
    <w:p>
      <w:r>
        <w:rPr>
          <w:b/>
        </w:rPr>
        <w:t>E. 13</w:t>
      </w:r>
    </w:p>
    <w:p>
      <w:r>
        <w:t>La recourante, qui est représentée par un mandataire, a droit à une indemnité à titre de participation à ses frais et dépens, que la Chambre de céans fixe en l’occurrence à CHF 1’800.- (art. 61 let. g LPGA ; art. 89H al. 3 de la loi sur la procédure administrative du 12 septembre 1985 - LPA; RS E 5 10 ; art. 6 du règlement sur les frais, émoluments et indemnités en procédure administrative du 30 juillet 1986 - RFPA ; RS E 5 10.03).</w:t>
      </w:r>
    </w:p>
    <w:p>
      <w:r>
        <w:rPr>
          <w:b/>
        </w:rPr>
        <w:t>E. 14</w:t>
      </w:r>
    </w:p>
    <w:p>
      <w:r>
        <w:t>La procédure est gratuite (art. 89H al. 4 LPA).</w:t>
      </w:r>
    </w:p>
    <w:p>
      <w:r>
        <w:t>A/2759/2016 - 14/14 -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