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ATAS/590/2013 vom 12. Juni 2013</w:t>
      </w:r>
    </w:p>
    <w:p>
      <w:r>
        <w:t>GE Cour de justice, 2013-06-12, FR</w:t>
      </w:r>
    </w:p>
    <w:p>
      <w:r>
        <w:rPr>
          <w:b/>
        </w:rPr>
        <w:t xml:space="preserve">Quelle: </w:t>
      </w:r>
      <w:r>
        <w:t>https://mcp.opencaselaw.ch/entscheid/ge_gerichte_ATAS_590_2013</w:t>
      </w:r>
    </w:p>
    <w:p>
      <w:r>
        <w:t>FR: GE_GERICHTE ATAS/590/2013 du 12 juin 2013</w:t>
      </w:r>
    </w:p>
    <w:p>
      <w:r>
        <w:t>IT: GE_GERICHTE ATAS/590/2013 del 12 giugno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t>A/2793/2012 - 10/24 -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 recourante à une rente d’invalidité, à tout le moins partielle, et singulièrement sur la valeur probante des rapports d’expertise des Drs D___________ et F___________ ainsi que sur l’opportunité d’un stage d’évaluation aux EPI.</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a/aa)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A/2793/2012 - 11/24 -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a/bb)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 d’autres termes, les circonstances générales et particulières qui conduisent à une situation psychosociale difficile ne suffisent pas à admettre une invalidité. b/aa) La fibromyalgie est une affection rhumatismale reconnue par l'Organisation mondiale de la santé [OMS] (CIM-10: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w:t>
      </w:r>
    </w:p>
    <w:p>
      <w:r>
        <w:t>A/2793/2012 - 12/24 -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A ce jour, le Tribunal fédéral n’a cependant pas pris position sur cette controverse médicale (ATF 132 V 65 consid. 3.2 et 3.3). b/bb)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voir pour la définition du trouble somatoforme douloureux CIM-10: F45.4).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Selon la jurisprudence, les troubles somatoformes douloureux n'entraînent pas, en règle générale, une limitation de longue durée de la capacité de travail pouvant conduire à une invalidité (ATF 130 V 354 consid. 2.2.3). Il existe une présomption que les troubles somatoformes douloureux ou leurs effets peuvent être surmontés par un effort de volonté raisonnablement exigible (ATF 131 V 50). Pour les raisons qui viennent être exposées ci-dessus, il y a lieu de poser la même présomption en présence d'une fibromyalgie (ATF 132 V 65 consid. 4.2). Le Tribunal fédéral des assurances (TFA)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130 V 354 et ATF 131 V 50). Il est légitime d'admettre que ces circonstances sont</w:t>
      </w:r>
    </w:p>
    <w:p>
      <w:r>
        <w:t>A/2793/2012 - 13/24 - également susceptibles de fonder exceptionnellement un pronostic défavorable dans les cas de fibromyalgie (ATF 132 V 65 consid. 4.2). A cet égard, on retiendra, au premier plan, la présence d'une comorbidité psychiatrique importante par sa gravité, son acuité et sa durée. Peut constituer une telle comorbidité un état dépressif majeur (voir en matière de troubles somatoformes douloureux ATF 130 V 358 consid. 3.3.1 et la référence).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w:t>
      </w:r>
    </w:p>
    <w:p>
      <w:r>
        <w:t>A/2793/2012 - 14/24 - suffisamment intense, pour conclure à une incapacité de travail (ATF 132 V 65 consid. 4.2). c/aa)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(ATF non publié I 805/04 du 20 avril 2006, consid. 5.2.1). Il en va de même du diagnostic de dysthymie (ATF non publié I 488/04 du 31 janvier 2006). c/bb) S'agissant des affections corporelles chroniques, il doit exister une limitation fonctionnelle sur le plan somatique (notamment ATFA I 317/05 du 12 juin 2006). c/cc) Concernant l'état psychique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I 644/04 du 20 mars 2006). Un tel état ne saurait être admis lorsque l'assuré n'a pas suivi de traitement psychiatrique durable et que, par ailleurs, il fait preuve d'une mauvaise compliance médicamenteuse (ATFA I 506/04 du 22 février 2006, voir aussi ATFA I 483/05 du 21 avril 2006), lorsqu'il a uniquement pris un traitement d'anxiolytiques et non pas d'antidépresseurs (ATFA I 580/04 du 4 février 2006), lorsque la poursuite du traitement est susceptible d'améliorer la symptomatologie d'anxiété (ATFA I 380/03 du 8 juillet 2004), lorsque l'épisode dépressif moyen est en rémission complète (ATFA I 297/05 du 17 juillet 2006), lorsqu'aucun élément psychotique, aucune souffrance ou dysfonctionnement personnel, professionnel et social, ni encore des traits d'une personnalité dissociée ne peuvent être retenus (ATFA I 450/03 du 25 novembre 2004), en l'absence d'une source de conflit intrapsychique ou situation conflictuelle externe (ATFA I 272/03 du 23 juin 2004) lorsque l'état de l'assuré est susceptible de s'améliorer grâce à la stabilisation de la vie familiale et à l'instauration d'un traitement antidépresseur (ATFA I 638/04 du 10 novembre 2005), lorsque l'état psychique est stabilisé grâce à une médication adéquate et qu'un suivi psychothérapeutique constituerait un traitement adéquat des troubles en</w:t>
      </w:r>
    </w:p>
    <w:p>
      <w:r>
        <w:t>A/2793/2012 - 15/24 - cause (ATFA I 497/04 du 12 septembre 2005), lorsque l'assuré fait état d'une envie de travailler et d'une certaine ambition sociale (ATFA I 626/04 du 13 juillet 2005). c/dd) S'agissant de la perte d'intégration sociale dans toutes les manifestations de la vie, elle n'est pas réalisée dès lors que l'assuré effectue des promenades avec des amis qu'il voit fréquemment et maintient des contacts sociaux avec sa famille en Espagne (ATFA I 506/04 du 22 février 2006), qu'il bénéficie d'une vie familiale épanouie, reçoit des amis et se rend chez eux (ATFA I 580/04 du 4 février 2006), qu'il a une vie retirée, passant beaucoup de temps à la maison mais a gardé un certain réseau d'amis qui viennent le voir ou auxquels il rend visite (ATFA I 665/04 du 29 novembre 2005), qu'il se dit bien entouré sur le plan familial (ATFA I 539/04 du 16 août 2005), qu'il vit dans une situation de retrait mais qu'il a des contacts réguliers avec ses proches et qu'il retourne régulièrement dans son pays d'origine avec sa famille ou des amis (ATFA I 690/04 du 2 mars 2005), qu'il est à même d'entretenir des contacts sociaux, d'exercer des activités sportives (natation) et de loisir (promenade) (ATFA I 361/04 du 8 juin 2005).</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w:t>
      </w:r>
    </w:p>
    <w:p>
      <w:r>
        <w:t>A/2793/2012 - 16/24 -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w:t>
      </w:r>
    </w:p>
    <w:p>
      <w:r>
        <w:t>A/2793/2012 - 17/24 -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rPr>
          <w:b/>
        </w:rPr>
        <w:t>E. 10</w:t>
      </w:r>
    </w:p>
    <w:p>
      <w:r>
        <w:t>a) En l’espèce, lors de son audition par la Cour de céans, le 14 novembre 2012, la recourante a indiqué qu’elle ne contestait pas l’expertise somatique, si ce n’est l’évaluation de la capacité de travail résiduelle mais qu’elle contestait en revanche intégralement l’expertise psychiatrique. Il y a donc lieu d’examiner la valeur probante de ces deux rapports. b) Concernant tout d’abord le rapport d’expertise du Dr D___________, il correspond en tous points aux réquisits jurisprudentiels précités. Il se fonde en effet sur l'étude du dossier médical complet, établit l'anamnèse de l'assurée et relate ses plaintes. L'expert a posé ses diagnostics - qui ne sont au demeurant pas contestés par la recourante - après des examens minutieux et ses conclusions sont claires et motivées. Le Dr D___________ a en particulier expliqué pour quelles raisons il n’y avait pas d’atteinte radiculaire et qu’il s’agissait donc d’une atteinte purement irritative. Il a également précisé que l’atteinte irritative et l’œdème du plateau supérieur de L4 pouvaient expliquer le fait que les douleurs lombaires augmentaient aux ports de charges et aux mouvements. Compte tenu des constatations cliniques, le Dr D___________ a retenu une totale capacité de travail dans toute activité respectant les limitations fonctionnelles retenues (pas de port de charges de plus de 5 kg, pas de mouvements répétés du rachis avec la possibilité de changer de position toutes les heures). S’il eût certes été souhaitable que le Dr D___________ expliquât les motifs pour lesquels il retenait une capacité de travail de 60% dans l’activité habituelle, il n’en demeure pas moins que la capacité de travail totale dans une activité adaptée, en raison des conséquences de la seule hernie discale, n’est pas contestable dans la mesure où il s’agit d’une atteinte purement irritative et que les positions qui sont susceptibles de déclencher les douleurs ou du moins de les augmenter ont été retenues à titre de limitations fonctionnelles. Partant, une pleine valeur probante doit être attribuée à l’expertise du Dr D___________ et de considérer que l’hernie discale dont souffre la recourante n’entraîne pas d’incapacité de travail. Cela étant, il y a lieu de constater que le Dr D___________ a également fait état d’une fibromyalgie. Cependant, pour qu’une telle atteinte puisse être considérée comme invalidante, elle doit être associée à une affection psychique qui, en elle- même ou en corrélation avec l'état douloureux, est propre à entraîner une limitation de longue durée de la capacité de travail pouvant conduire à une invalidité. Partant, il y a donc lieu d’examiner la valeur probante de l’expertise du Dr F___________.</w:t>
      </w:r>
    </w:p>
    <w:p>
      <w:r>
        <w:t>A/2793/2012 - 18/24 - c) S’agissant de cette dernière expertise, force est de constater qu’elle comporte une anamnèse familiale, personnelle et socioprofessionnelle détaillée, un résumé du dossier et de l'historique médical ainsi qu’une description des plaintes subjectives de l'assuré. L'expert a procédé à des constatations cliniques et les a résumées selon l'échelle psychopathologique de l'Association internationale pour la Méthodologie et la Documentation en psychiatrie (AMDP, 3ème éd. 1999). Il a ensuite discuté le cas, tenu compte des plaintes exprimées par la patiente et posé un diagnostic selon la Classification internationales des maladies (CIM-10). Partant, l’expertise du Dr F___________ répond aux réquisits jurisprudentiels permettant de lui reconnaître une pleine valeur probante. Sur le fond, l’expert a considéré que la recourante souffrait d'une dysthymie, qui est une affection psychique correspondant au trouble F 34.1 de la CIM-10. Concrètement, il s'agit d'un abaissement chronique de l'humeur, persistant au moins plusieurs années, mais dont la sévérité est insuffisante, ou, dont la durée des différents épisodes est trop brève, pour justifier un diagnostic de trouble dépressif récurrent, sévère, moyen ou léger. Cette affection peut ainsi être qualifiée d'humeur dépressive qui n'atteint même pas la gravité d'un état dépressif majeur léger (voir notamment l’ATF non publié I 354/01 du 3 mai 2002 consid. 4b pour les explications médicales). En d’autres termes, le Dr F___________ n'a mis en évidence aucun substrat médical pertinent, entravant la capacité de travail (et de gain) de la recourante de manière importante (voir notamment ATF non publié I 354/01 du 3 mai 2002 consid. 4b). L’expert a également expliqué que, contrairement au médecin traitant de la recourante, il n’avait pas pris en considération les éléments appartenant au registre extra-médical (situation sociale, âge, bilan de vie avec tendance négative, fixation sur une blessure antérieure, situation sentimentale bloquée en tant que maîtresse ainsi que manque de motivation et autres) ce qui est conforme à la jurisprudence, quoi qu’en dise la recourante. d) Afin de contester la valeur probante du rapport du Dr F___________, la recourante a produit deux avis de la Dresse C___________ dont il convient d’examiner la valeur probante. Force est cependant de constater que les avis en questions ne répondent pas aux réquisits jurisprudentiels et ne sont à l’évidence pas suffisants pour remettre en doute le rapport du Dr F___________. La Cour de céans note, dans ce contexte, que la psychiatre traitante de la recourante fait état d’une rémission partielle d’un état dépressif majeur sévère. En d’autres termes, elle admet qu’il y a eu amélioration de l’état psychique de la recourante, de telle sorte qu’elle ne présente plus les critères symptomatiques nécessaires pour retenir le diagnostic d’épisode dépressif majeur sévère, même si certains symptômes de la maladie persistent. Or, les symptômes résiduels retenus par la</w:t>
      </w:r>
    </w:p>
    <w:p>
      <w:r>
        <w:t>A/2793/2012 - 19/24 - Dresse C___________, dans son courrier du 2 juillet 2012, correspondent à ceux énoncés par le Dr F___________ : labilité émotionnelle et troubles de la concentration (voir notamment p. 10 et 11 de l’expertise du 29 août 2012) ainsi que bilan négatif de sa vie et retrait social (voir p. 16 de l’expertise du 29 août 2012), ces derniers éléments constituant des facteurs psychosociaux et socioculturels non pris en considération par l’expert. Ainsi, l’avis de la Dresse C___________ ne constitue qu’une appréciation divergente ce qui ne permet pas de remettre en question la valeur probante du rapport du Dr F___________. S’agissant du courrier du 20 septembre 2012, dans lequel la Dresse C___________ explicite ses critiques relatives à l’expertise psychiatrique, force est de constater qu’il ne contient aucun élément permettant de contester l’appréciation du Dr F___________. Si la psychiatre traitante conteste certes certaines appréciations de l’expert, elle ne démontre cependant pas que les critères d’un épisode dépressif sévère seraient réalisés. S’agissant des précédents épisodes dépressifs, que l’expert aurait omis de signaler, force est de constater qu’aucune pièce du dossier n’en fait état, hormis le courrier du Dr B___________ du 19 septembre 2002, qui émane d’un spécialiste en chirurgie et mentionne un état dépressif, sans autres précisions. De plus, les autres épisodes dépressifs, s’ils peuvent être qualifiés comme tels, étaient à l’évidence des états réactionnels à des situations professionnelles, qui n’ont pas valeur de maladie au sens de l’assurance-invalidité. En outre, le fait que la recourante ait déclaré avoir « oublié » de prendre ses médicaments deux jours d’affilée en raison de son anxiété ne permet pas de remettre en question le diagnostic du Dr F___________ et son appréciation de la capacité de travail. En effet, il doit être considéré que, compte tenu du diagnostic de dysthymie retenu, la recourante devrait être encore plus à même de travailler si elle suivait son traitement régulièrement. Par ailleurs, s’agissant de l’argument lié à la surdité, force est de constater que la recourante n’a produit aucune pièce permettant d’attester d’une diminution sensible de l’audition. De plus, le Dr F___________ lui a demandé à plusieurs reprises si son résumé de la situation était exact ce que la recourante a, à l’évidence, confirmé. Enfin, contrairement à ce qu’affirme la Dresse C___________, le Dr F___________ n’a pas procédé qu’à des tests : il a procédé à un examen clinique et a, par la suite, résumé les constatations objectives et les plaintes subjectives de la patiente selon le système de l’AMDP. Partant, les critiques de la Dresse C___________ ne permettent pas de remettre en question la valeur probante du rapport du Dr F___________. Il n’y a dès lors pas lieu d’entendre les médecins personnels de la recourante ni d’ordonner une expertise médicale (appréciation anticipée des preuves : arrêt K 134/03 du 12 mai 2004, consid. 4.3, ATF 124 V 94 consid. 4b). d) Il ressort des considérations qui précèdent que ni les lombalgies sur hernie discale ni la dysthymie n’entravent la capacité de travail et par conséquent de gain</w:t>
      </w:r>
    </w:p>
    <w:p>
      <w:r>
        <w:t>A/2793/2012 - 20/24 - de la recourante. Reste cependant à examiner si la fibromyalgie relevée par le Dr D___________ est invalidante. Comme cela ressort du considérant 7c/aa supra, la dysthymie ne permet pas d’établir l’existence d’une comorbidité psychiatrique d’une acuité et d’une gravité suffisamment importantes pour admettre qu'aucun effort de volonté en vue de surmonter les douleurs ayant conduit au diagnostic de fibromyalgie et de réintégrer un processus de travail n'est exigible de la part de la recourante (voir arrêt non publié I 488/04 du 31 janvier 2006). En l’absence de comorbidité psychiatrique, il doit avoir cumul d'autres critères présentant une certaine intensité et constance mentionnés supra. Or, à l’exception des affections corporelles chroniques (lombalgies sur hernie discale), la recourante ne remplit aucun des autres critères jurisprudentiels. Elle ne subit plus particulièrement pas de perte d'intégration sociale dans toutes les manifestations de la vie dans la mesure où elle décrit une vie sociale existante et bénéficie d’une vie de couple qu’elle qualifie de satisfaisante. Le traitement administré a permis une évolution positive de l’atteinte psychique, dans la mesure où l’état dépressif sévère tel que diagnostiqué par la Dresse C___________ a fait l’objet d’une rémission suffisamment importante pour que le Dr F___________ ne relève qu’une dysthymie. Enfin, la recourante ne présente pas non plus d’état psychique cristallisé dans la mesure où son trouble psychique a été stabilisé grâce à une médication adéquate, avec laquelle elle n’était pas toujours compliante, ou à tout le moins pas lorsque l’expertise a été réalisée. Partant, les troubles psychiques présentés par la recourante ne se manifestent pas avec une telle sévérité que, d'un point de vue objectif, ils excluent toute mise en valeur de la capacité de travail. Au contraire, il y a lieu d'admettre le caractère exigible d'un effort de volonté de sa part en vue de surmonter la douleur et de se réinsérer dans un processus de travail. e) En résumé, on doit ainsi admettre que la recourante ne présente pas d’atteinte à sa santé – physique ou psychique – qui soit de nature à entraîner une incapacité de travail dans toute profession.</w:t>
      </w:r>
    </w:p>
    <w:p>
      <w:r>
        <w:rPr>
          <w:b/>
        </w:rPr>
        <w:t>E. 11</w:t>
      </w:r>
    </w:p>
    <w:p>
      <w:r>
        <w:t>La recourante demande également à être mise au bénéfice d’un stage d’observation professionnelle afin d’examiner quel type d’activité pourrait éventuellement être envisagé en tant compte de ses atteintes à la santé et du fait qu’elle n’a jamais exercé d’autres activités que celles de femme de chambre ou de nettoyeuse.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w:t>
      </w:r>
    </w:p>
    <w:p>
      <w:r>
        <w:t>A/2793/2012 - 21/24 -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b) A teneur de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w:t>
      </w:r>
    </w:p>
    <w:p>
      <w:r>
        <w:t>A/2793/2012 - 22/24 -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(ATF non publié 9C_882/2008 du 29 octobre 2009, consid. 5.1 et les références). La même circulaire précise que l’orientation professionnelle incombe à l’office AI. Celui-ci peut ordonner, à côté des méthodes et mesures habituelles d’orientation professionnelle, dont les stages pratiques, un examen plus étendu dans des centres spécialisés de formation professionnelle ou de réadaptation, sur le marché libre ou dans des centres d’observation professionnelle (COPAI). Cet examen sera effectué d’après un programme spécifiquement établi ou standardisé précisant clairement l’objectif (chiffre 2003). Dans un arrêt non publié du 10 février 2011, le Tribunal fédéral a considéré que c’était à juste titre que l’OAI avait refusé de mettre un assuré, qui n’était plus en mesure d’exercer ses activités antérieures en raison de problèmes au dos, au bénéfice d’une orientation professionnelle. Notre Haute Cour a en effet considéré que compte tenu du caractère relativement anodin de l'atteinte à la santé, les propositions formulées par le service de réadaptation de l'office quant aux types d'activités que l'on pouvait raisonnablement exiger de la part de l’assuré étaient suffisantes pour qu'il puisse s'orienter seul sur le marché du travail. De manière plus générale, dans la mesure où celui-ci offrait un éventail suffisamment large d'activités légères, dont un nombre significatif étaient, à l'évidence, adaptées aux limitations de l’assuré et accessibles sans aucune formation particulière, il n'existait guère d'obstacles pour l’assuré à l'exercice d'un emploi adapté à ses problèmes de santé. Dans ces conditions, l'octroi d'une mesure d'orientation professionnelle financée par l'assurance-invalidité apparaissait superflue (ATF non publié 9C_534/2010 du 10 février 2011 consid. 4). c) En l’espèce, l’intimé a considéré que dans la mesure où le marché équilibré du travail offre un éventail suffisamment large d’activités légères, dont un nombre significatif étaient, à l’évidence, adaptées aux limitations de la recourante et accessibles sans formation particulière. Pour sa part, la recourante n’a pas détaillé les motifs pour lesquels elle formulait sa demande de stage d’observation professionnelle. Force est cependant de constater que c’est à juste titre que l’intimé a refusé cette mesure d’orientation professionnelle. En effet, les limitations retenues sur le plan somatique (pas de port de charges de plus de 5 kg, pas de mouvements répétés du rachis, avec la possibilité de changer de position toutes les heures) sont peu importantes, étant rappelé que sur le plan psychique, la recourante ne présente aucune limitation. Dès lors, dans la mesure où le marché de l’emploi offre un</w:t>
      </w:r>
    </w:p>
    <w:p>
      <w:r>
        <w:t>A/2793/2012 - 23/24 - éventail suffisamment large d'activités légères, dont un nombre significatif sont, à l'évidence, adaptées aux limitations précitées et accessibles sans aucune formation particulière, il n’y a guère d'obstacles pour la recourante à l'exercice d'un emploi adapté à ses problèmes de santé. Dans ces conditions, l'octroi d'une mesure d'orientation professionnelle financée par l'assurance-invalidité apparaît superflu. Plutôt qu'une orientation professionnelle, la recourante semble avoir besoin d'un soutien actif dans la recherche d'un emploi approprié et, partant, d'une mesure de placement au sens de l'art. 18 LAI, mesure qui avait été suggérée par l’intimé dans son projet de décision du 5 juin 2012 mais à laquelle l’office intimé avait renoncé dans la décision du 16 août 2012 considérant qu’au vu des termes de son courrier du 3 juillet 2012, la recourante n’était subjectivement pas apte à reprendre une activité professionnelle.</w:t>
      </w:r>
    </w:p>
    <w:p>
      <w:r>
        <w:rPr>
          <w:b/>
        </w:rPr>
        <w:t>E. 12</w:t>
      </w:r>
    </w:p>
    <w:p>
      <w:r>
        <w:t>Le calcul du degré d’invalidité effectué par l’intimé n’étant pas contesté, il ne sera pas examiné par la Cour de céans.</w:t>
      </w:r>
    </w:p>
    <w:p>
      <w:r>
        <w:rPr>
          <w:b/>
        </w:rPr>
        <w:t>E. 13</w:t>
      </w:r>
    </w:p>
    <w:p>
      <w:r>
        <w:t>Partant, le recours sera rejeté.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RSG E 510.03).</w:t>
      </w:r>
    </w:p>
    <w:p>
      <w:r>
        <w:t>A/2793/2012 - 24/24 -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