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ATAS/58/2013 vom 23. Januar 2013</w:t>
      </w:r>
    </w:p>
    <w:p>
      <w:r>
        <w:t>GE Cour de justice, 2013-01-23, FR</w:t>
      </w:r>
    </w:p>
    <w:p>
      <w:r>
        <w:rPr>
          <w:b/>
        </w:rPr>
        <w:t xml:space="preserve">Quelle: </w:t>
      </w:r>
      <w:r>
        <w:t>https://mcp.opencaselaw.ch/entscheid/ge_gerichte_ATAS_58_2013</w:t>
      </w:r>
    </w:p>
    <w:p>
      <w:r>
        <w:t>FR: GE_GERICHTE ATAS/58/2013 du 23 janvier 2013</w:t>
      </w:r>
    </w:p>
    <w:p>
      <w:r>
        <w:t>IT: GE_GERICHTE ATAS/58/2013 del 23 gennaio 2013</w:t>
      </w:r>
    </w:p>
    <w:p>
      <w:pPr>
        <w:pStyle w:val="Heading2"/>
      </w:pPr>
      <w:r>
        <w:t>Erwägungen</w:t>
      </w:r>
    </w:p>
    <w:p>
      <w:r>
        <w:rPr>
          <w:b/>
        </w:rPr>
        <w:t>E. 1</w:t>
      </w:r>
    </w:p>
    <w:p>
      <w:r>
        <w:t>Les atteintes à la santé psychique peuvent, comme les atteintes physiques, entraîner une invalidité au sens de l'art. 4 al. 1 de la loi fédérale sur l’assurance-invalidité du 19 juin 1959 (LAI ; 831.20) en liaison avec l'art. 8 de la loi fédérale sur la partie générale du droit des assurances sociales du 6 octobre 2000 (LPGA ; RS 830.1).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rPr>
          <w:b/>
        </w:rPr>
        <w:t>E. 2</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w:t>
      </w:r>
    </w:p>
    <w:p>
      <w:r>
        <w:t>A/2083/2012 9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w:t>
      </w:r>
    </w:p>
    <w:p>
      <w:r>
        <w:t>A/2083/2012 10 devant pas faire l'objet d'un diagnostic séparé (ATFA non publié I 497/04 du 12 septembre 2005, consid. 5.1). Enfin, selon la jurisprudence, la reconnaissance du caractère invalidant de troubles somatoformes douloureux chez de jeunes assurés doit rester exceptionnelle en l’absence de comorbidité psychiatrique (ATFA non publié I 488/04 du 31 janvier 2006, consid. 3.3).</w:t>
      </w:r>
    </w:p>
    <w:p>
      <w:r>
        <w:rPr>
          <w:b/>
        </w:rPr>
        <w:t>E. 3</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4</w:t>
      </w:r>
    </w:p>
    <w:p>
      <w:r>
        <w:t>En l'espèce, il n'est pas contesté que le recourant souffre d'un trouble somatoforme douloureux. Il s'agit dès lors de déterminer si, en fonction des critères développés par la jurisprudence précitée, le recourant dispose de ressources psychiques suffisantes pour surmonter ses douleurs afin d'exercer une activité lucrative à plus de 80%, étant rappelé qu'il demande des mesures de réadaptation sous forme d'une formation initiale, lesquelles ne peuvent être accordées que si l'assuré présente au moins une perte de gain de 20% (ATF 124 V 108 consid. 2b et les arrêts cités). A priori, seuls les critères d'un processus maladif s'étendant sur plusieurs années sans rémission durable, de l'échec des traitements ambulatoires et stationnaires conformes aux règles de l'art et de l'existence d'un état psychique cristallisé sont réalisés. Quant au critère de la perte d’intégration sociale, le retrait social est prononcé, même s'il n'est pas total. Selon l'expertise pluridisciplinaire, le recourant dispose des ressources psychiques nécessaires pour surmonter les douleurs. Toutefois au vu du contexte dans lequel les douleurs se sont développées, la Cour n'est pas totalement convaincue par cette expertise sur le plan psychiatrique. Elle estime dès lors nécessaire de faire évaluer par un expert judiciaire l'état psychique et la capacité de travail du recourant, en</w:t>
      </w:r>
    </w:p>
    <w:p>
      <w:r>
        <w:t>A/2083/2012 11 particulier si éventuellement le critère de l'état psychique cristallisé, pour autant qu'il soit retenu par l'expert, se manifeste en l'occurrence avec une telle intensité qu'il prive le recourant des ressources psychiques nécessaires pour surmonter les douleurs par un effort de volonté.</w:t>
      </w:r>
    </w:p>
    <w:p>
      <w:r>
        <w:rPr>
          <w:b/>
        </w:rPr>
        <w:t>E. 5</w:t>
      </w:r>
    </w:p>
    <w:p>
      <w:r>
        <w:t>Les parties n'ayant pas fait valoir des objections, la mission d'expertise sera confiée au Dr S__________.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