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ATAS/589/2017 vom 29. Juni 2017</w:t>
      </w:r>
    </w:p>
    <w:p>
      <w:r>
        <w:t>GE Cour de justice, 2017-06-29, FR</w:t>
      </w:r>
    </w:p>
    <w:p>
      <w:r>
        <w:rPr>
          <w:b/>
        </w:rPr>
        <w:t xml:space="preserve">Quelle: </w:t>
      </w:r>
      <w:r>
        <w:t>https://mcp.opencaselaw.ch/entscheid/ge_gerichte_ATAS_589_2017</w:t>
      </w:r>
    </w:p>
    <w:p>
      <w:r>
        <w:t>FR: GE_GERICHTE ATAS/589/2017 du 29 juin 2017</w:t>
      </w:r>
    </w:p>
    <w:p>
      <w:r>
        <w:t>IT: GE_GERICHTE ATAS/589/2017 del 29 giugno 2017</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Interjetés dans les forme et délai légaux, les recours sont recevables (art. 56 al. 1 et 60 al. 1 LPGA; art. 9 de la loi cantonale du 14 octobre 1965 sur les prestations fédérales complémentaires à l’assurance-vieillesse et survivants et à l’assurance- invalidité [LPFC - J 4 20]; art. 43 LPCC).</w:t>
      </w:r>
    </w:p>
    <w:p>
      <w:r>
        <w:rPr>
          <w:b/>
        </w:rPr>
        <w:t>E. 4</w:t>
      </w:r>
    </w:p>
    <w:p>
      <w:r>
        <w:t>Le litige porte sur le montant et le calcul des prestations complémentaires, en particulier sur l'intégration, dans ce calcul, de montants correspondant à des biens dessaisis.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t>A/3970/2015 - 10/15 -</w:t>
      </w:r>
    </w:p>
    <w:p>
      <w:r>
        <w:rPr>
          <w:b/>
        </w:rPr>
        <w:t>E. 6</w:t>
      </w:r>
    </w:p>
    <w:p>
      <w:r>
        <w:t>Par dessaisissement, il faut entendre, en particulier, la renonciation à des éléments de revenu ou de fortune sans obligation juridique, ni contre-prestation équivalente (ATF 134 I 65 consid. 3.2 p. 70 ; 131 V 329 consid. 4.2. p. 332).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 Ainsi donc,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Ainsi, par exemple, le Tribunal fédéral a-t-il considéré qu'il n'y avait pas dessaisissement dans le cas d'une assurée ayant épuisé sa fortune après avoir vécu dans un certain luxe (ATF 115 V 352 consid. 5b). Il y a lieu de prendre en compte dans le revenu déterminant tout dessaisissement sans limite de temps (Pierre FERRARI, Dessaisissement volontaire et prestations complémentaires à l'AVS/AI in RSAS 2002, p. 420).</w:t>
      </w:r>
    </w:p>
    <w:p>
      <w:r>
        <w:rPr>
          <w:b/>
        </w:rPr>
        <w:t>E. 7</w:t>
      </w:r>
    </w:p>
    <w:p>
      <w:r>
        <w:t>Il faut encore ajouter que le dessaisissement suppose que l’assuré ait la capacité de discernement s’agissant de la diminution de sa fortune (arrêt du Tribunal fédéral 9C_934/2009 du 28 avril 2010 consid. 5.1). Selon l’art. 16 du code civil (CC; RS 210), toute personne qui n'est pas privée de la faculté d'agir raisonnablement en raison de son jeune âge, de déficience mentale, de troubles psychiques, d'ivresse ou d'autres causes semblables est capable de discernement au sens de la loi. Cette disposition comporte deux éléments, un élément intellectuel - la capacité d'apprécier le sens, l'opportunité et les effets d'un acte déterminé - et un élément volontaire ou caractériel -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w:t>
      </w:r>
    </w:p>
    <w:p>
      <w:r>
        <w:t>A/3970/2015 - 11/15 -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w:t>
      </w:r>
    </w:p>
    <w:p>
      <w:r>
        <w:rPr>
          <w:b/>
        </w:rPr>
        <w:t>E. 8</w:t>
      </w:r>
    </w:p>
    <w:p>
      <w:r>
        <w:t>S'il est admis que l'ayant droit s'est dessaisi d'une partie de sa fortune, le calcul de la prestation complémentaire doit se faire comme s'il avait obtenu une contre- prestation équivalente pour le bien cédé. Il convient toutefois de réduire de CHF 10'000.- par an la part de fortune dessaisie à prendre en considération, conformément à l'art. 17a de l’ordonnance sur les prestations complémentaires à l’assurance-vieillesse, survivants et invalidité du 15 janvier 1971 (OPC-AVS/AI - RS 831.301). On présume ainsi que l'ayant droit, à supposer qu'il ne se fût pas dessaisi de sa fortune, en aurait mis une partie à contribution pour subvenir à ses besoins; l'amortissement prévu par l'art. 17a OPC-AVS/AI n'est toutefois admis que sous la forme d'un forfait indépendant du montant exact de la fortune dessaisie ou de celle dont dispose encore l'ayant droit (cf. arrêt 8C_68/2008 du 27 janvier 2009 consid. 4.2.2 et les références, in SVR 2009 EL n° 6 p. 21).</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A/3970/2015 - 12/15 - conséquences de l'absence de preuves (ATF 125 V 195 consid. 2 et les références; cf. ATF 130 I 183 consid. 3.2).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(cf. arrêt du TF 9C_124/2014 du 4 août 2014, consid. 5, arrêt P 27/93 du 15 mars 1994 consid. 4b in VSI 1994 p. 222; arrêt du TF P 65/04 du 29 août 2005, consid. 5.3.1 ; VSI 1994 p. 227 consid. 4b). Dans le domaine des assurances sociales, l'autorité administrative ou le juge ne peut pas considérer un fait comme prouvé seulement parce qu'il apparaît comme une hypothèse possible.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w:t>
      </w:r>
    </w:p>
    <w:p>
      <w:r>
        <w:rPr>
          <w:b/>
        </w:rPr>
        <w:t>E. 10</w:t>
      </w:r>
    </w:p>
    <w:p>
      <w:r>
        <w:t>En l’espèce, le curateur du recourant invoque implicitement l’incapacité de discernement de son protégé, lequel a été placé sous curatelle de gestion le 9 décembre 2014 en raison du fait qu’il « semblait présenter des troubles psychiques », être sous influence et de la nécessité de préserver son patrimoine. Force est cependant de constater que les troubles psychiques auxquels fait allusion le TPAE ne sont pas établis clairement mais seulement subodorés. À aucun moment, le TPAE ne parle d’incapacité de discernement à proprement parler. II évoque certes le grand âge de l’intéressé - 85 ans en 2014 - mais, en l’absence de faiblesse d’esprit avérée, la capacité de discernement doit rester la règle et être présumée d'après l'expérience générale de la vie. Partant, il incombe à celui qui prétend qu'elle fait défaut de le prouver. Or, en l’occurrence, le curateur de l’intéressé échoue à apporter cette preuve. Certes, une curatelle a été instituée, mais elle l’a avant tout été au vu de la précarité de la situation financière du bénéficiaire, non d’une maladie psychique avérée. Au demeurant, les policiers qui ont procédé à l’interrogatoire de l’intéressé ont souligné la clarté de ses propos. Aucun document médical n’a non plus été versé au dossier qui corroborerait la faiblesse d’esprit due à l’âge qu’évoque le TPAE de manière non catégorique. Dès lors, la Cour de céans considère que l’incapacité de discernement n’est pas établie. On ajoutera que la mesure de curatelle a été prononcée en décembre 2014, alors que la diminution de fortune alléguée s’étend de 2005 à 2014, soit une période</w:t>
      </w:r>
    </w:p>
    <w:p>
      <w:r>
        <w:t>A/3970/2015 - 13/15 - antérieure. On ne saurait dès lors tirer de conclusions définitives du seul prononcé de cette mesure sur l’état de discernement du recourant les années précédentes. En particulier, il ne suffit pas d’affirmer que l’intéressé aurait été sous influence, ce qui n’a pu être démontré au degré de vraisemblance prépondérante requis. Certes, il y a eu diminution de fortune - celle-ci n’est pas contestée -, certes, le recourant semble avoir vécu au-dessus de ses moyens durant plusieurs années, encouragé peut-être en cela par Mme C______, mais, comme déjà dit, il n’est pas établi qu’il aurait à tel point été privé de volonté qu’il en aurait été réduit à lui obéir aveuglément. On rappellera à cet égard que la plainte pénale déposée par sa fille et son complément ont tous deux été classés sans suite. Quant à M. H______, il a indiqué ne pouvoir confirmer que l’assuré aurait été incapable de comprendre ce qu’il faisait. Comme le dit l’intéressé lui-même, il était libre de faire ce qu’il voulait de son argent, n’en déplaise à ses proches. Eu égard à ces considérations, on ne saurait exclure le dessaisissement au motif que le recourant aurait été incapable de discernement.</w:t>
      </w:r>
    </w:p>
    <w:p>
      <w:r>
        <w:rPr>
          <w:b/>
        </w:rPr>
        <w:t>E. 11</w:t>
      </w:r>
    </w:p>
    <w:p>
      <w:r>
        <w:t>Reste à déterminer si la diminution de fortune constatée est la conséquence de dépenses effectuées sans obligation juridique, ni contre-prestation équivalente. Tel est manifestement le cas des CHF 10'000.- offerts en don à Mme C______ 6‘000.- restant à rembourser par Mme B______. Pour le reste, selon la jurisprudence, le recourant doit accepter que l'on s'enquière des motifs de la diminution et, en l'absence de la preuve requise, que l'on tienne compte d'une fortune hypothétique. En l'espèce, la possibilité que les dépenses aient été effectuées moyennant contre- prestation adéquate n'est pas plus probable que l'éventualité d'un autre usage. Dans la mesure où ni le bénéficiaire, ni son curateur n’ont pu fournir de justificatifs prouvant les dépenses qui ont entrainé la diminution de patrimoine, le recourant devrait en principe supporter les conséquences de cette absence de preuves. Il convient toutefois de souligner que la jurisprudence admet également qu’il n'appartient pas aux organes compétents en matière de prestations complémentaires de procéder à un contrôle du mode de vie des assurés, ni d'examiner si l'intéressé s'est écarté d'une ligne que l'on pourrait qualifier de « normale ». C’est ainsi qu’il a été admis par le Tribunal fédéral qu’il n’y avait pas dessaisissement dans le cas d'une assurée ayant épuisé sa fortune après avoir vécu dans un certain luxe. En l’occurrence, il ressort des différents témoignages que le recourant a sans doute vécu au-dessus de ses moyens, n’hésitant pas à dépenser de l’argent, ainsi que l’a lui-même relevé son curateur, à qui il a réclamé CHF 3'000.- d’argent de poche mensuel. En l’occurrence, les diminutions de patrimoine pour lesquelles l’intimé réclame des explications entre 2012 et 2013 pourraient sans peine s’expliquer par un train de vie élevé au regard du seul revenu modeste du recourant (sa rente de vieillesse).</w:t>
      </w:r>
    </w:p>
    <w:p>
      <w:r>
        <w:t>A/3970/2015 - 14/15 - Il en va différemment de l’année 2005, où la diminution de fortune a été nettement plus importante (près de CHF 151'000.-). Dès lors, eu égard aux considérations qui précèdent, le recours est partiellement admis en ce sens que l’intimé n’aurait dû tenir compte à titre de biens dessaisis que de l’importante diminution inexpliquée de 2005, soit CHF 150'734.60, des CHF 10'000.- donnés à Mme C______ sans obligation légale et des CHF 6'000.- restant dus par Mme B______.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A/3970/2015 - 15/15 -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