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ATAS/589/2013 vom 12. Juni 2013</w:t>
      </w:r>
    </w:p>
    <w:p>
      <w:r>
        <w:t>GE Cour de justice, 2013-06-12, FR</w:t>
      </w:r>
    </w:p>
    <w:p>
      <w:r>
        <w:rPr>
          <w:b/>
        </w:rPr>
        <w:t xml:space="preserve">Quelle: </w:t>
      </w:r>
      <w:r>
        <w:t>https://mcp.opencaselaw.ch/entscheid/ge_gerichte_ATAS_589_2013</w:t>
      </w:r>
    </w:p>
    <w:p>
      <w:r>
        <w:t>FR: GE_GERICHTE ATAS/589/2013 du 12 juin 2013</w:t>
      </w:r>
    </w:p>
    <w:p>
      <w:r>
        <w:t>IT: GE_GERICHTE ATAS/589/2013 del 12 giugno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w:t>
      </w:r>
    </w:p>
    <w:p>
      <w:r>
        <w:t>A/982/2013 - 4/6 - 1982 (loi sur l’assurance-chômage, LACI; RS 837.0). Elle connait en outre des contestations prévues à l’article 49, alinéa 3, de la loi en matière de chômage, du 11 novembre 1983, en matière de prestations cantonales complémentaires (LMC; RS J</w:t>
      </w:r>
    </w:p>
    <w:p>
      <w:r>
        <w:rPr>
          <w:b/>
        </w:rPr>
        <w:t>E. 2</w:t>
      </w:r>
    </w:p>
    <w:p>
      <w:r>
        <w:t>Interjeté dans les forme et délai prévus par la loi, le recours est recevable (art. 49 al.</w:t>
      </w:r>
    </w:p>
    <w:p>
      <w:r>
        <w:rPr>
          <w:b/>
        </w:rPr>
        <w:t>E. 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le litige porte principalement sur le bien-fondé de la décision de refus de prestations cantonales.</w:t>
      </w:r>
    </w:p>
    <w:p>
      <w:r>
        <w:rPr>
          <w:b/>
        </w:rPr>
        <w:t>E. 4</w:t>
      </w:r>
    </w:p>
    <w:p>
      <w:r>
        <w:t>a.). Ce grief, mal fondé, est rejeté.</w:t>
      </w:r>
    </w:p>
    <w:p>
      <w:r>
        <w:t>A/982/2013 - 5/6 -</w:t>
      </w:r>
    </w:p>
    <w:p>
      <w:r>
        <w:rPr>
          <w:b/>
        </w:rPr>
        <w:t>E. 5</w:t>
      </w:r>
    </w:p>
    <w:p>
      <w:r>
        <w:t>Le recourant conclut à l'octroi de prestations cantonales. La loi cantonale en matière de chômage accorde, à certaines conditions, aux chômeurs ayant épuisé leur droit aux indemnités fédérales de chômage la possibilité d'obtenir des prestations cantonales complémentaires, en particulier sous la forme de stages de réinsertion professionnelle, d'allocations de retour en emploi ou, à titre subsidiaire, d'emplois temporaires cantonaux (art. 7 LMC). L'octroi de ces prestations cantonales complémentaires est soumis, notamment, à la condition que le chômeur ne doit pas avoir subi, pendant le délai-cadre d'indemnisation fédérale, de suspension du droit à l'indemnité de 31 jours et plus pour les motifs énumérés à l'art. 30 al. 1 let. c, d, e, f et g, de la LACI (cf. art. 32 al. 3 let. d , 44 let. c et 45E al. 4 let. c LMC).</w:t>
      </w:r>
    </w:p>
    <w:p>
      <w:r>
        <w:rPr>
          <w:b/>
        </w:rPr>
        <w:t>E. 6</w:t>
      </w:r>
    </w:p>
    <w:p>
      <w:r>
        <w:t>Or, en l'espèce, le recourant a fait l'objet de cinq décisions de suspension de droit à l'indemnité de chômage fédérale fondées précisément sur l'art. 30 al. 1 let. c et d LACI, soit au total 111 jours de suspension. Force est de constater qu'il ne remplit pas les conditions prévues par la LMC. Partant, c'est à bon droit que l'intimé a refusé l'octroi des prestations cantonales de chômage. Manifestement mal fondé, le recours est rejeté.</w:t>
      </w:r>
    </w:p>
    <w:p>
      <w:r>
        <w:t>A/982/2013 - 6/6 -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