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ATAS/588/2023 vom 10. August 2023</w:t>
      </w:r>
    </w:p>
    <w:p>
      <w:r>
        <w:t>GE Cour de justice, 2023-08-10, FR</w:t>
      </w:r>
    </w:p>
    <w:p>
      <w:r>
        <w:rPr>
          <w:b/>
        </w:rPr>
        <w:t xml:space="preserve">Quelle: </w:t>
      </w:r>
      <w:r>
        <w:t>https://mcp.opencaselaw.ch/entscheid/ge_gerichte_ATAS_588_2023</w:t>
      </w:r>
    </w:p>
    <w:p>
      <w:r>
        <w:t>FR: GE_GERICHTE ATAS/588/2023 du 10 août 2023</w:t>
      </w:r>
    </w:p>
    <w:p>
      <w:r>
        <w:t>IT: GE_GERICHTE ATAS/588/2023 del 10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S'agissant des prestations complémentaires (PC) fédérales, 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Sur le plan cantonal, ont droit aux PC les personnes dont le revenu annuel déterminant n’atteint pas le revenu minimum cantonal d’aide sociale applicable (art. 4 LPCC). Le revenu déterminant est calculé conformément aux règles fixées dans la loi fédérale et ses dispositions d'exécution (art. 5 al. 1 LPCC), il en va de même des dépenses déductibles (art. 6 LPCC).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PC (ATF 127 V 10ss). Cette règle vise à empêcher le financement indirect de personnes non comprises dans le calcul des PC. En conséquence, peu importe la répartition réelle du paiement du loyer entre les personnes partageant le foyer.</w:t>
      </w:r>
    </w:p>
    <w:p>
      <w:r>
        <w:rPr>
          <w:b/>
        </w:rPr>
        <w:t>E. 7</w:t>
      </w:r>
    </w:p>
    <w:p>
      <w:r>
        <w:t>Les décisions de PC peuvent être modifiées avec effet ex tunc lorsque sont réalisées les conditions présidant à la révocation, par son auteur, d’une décision administrative.</w:t>
      </w:r>
    </w:p>
    <w:p>
      <w:r>
        <w:t>A/3651/2021 - 8/12 -</w:t>
      </w:r>
    </w:p>
    <w:p>
      <w:r>
        <w:rPr>
          <w:b/>
        </w:rPr>
        <w:t>E. 7.1</w:t>
      </w:r>
    </w:p>
    <w:p>
      <w:r>
        <w:t>L’art. 25 al. 1 1ère phrase LPGA énonce que les prestations indûment touchées doivent être restituées. Le droit de demander la restitution s’éteint un an dès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les PC indûment touchées et son étendue dans le temps ne sont pas subordonnées à une violation de l’obligation de renseigner. Il s’agit en effet simplement de rétablir l’ordre légal après la découverte d’un fait nouveau (ATF 122 V 134).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w:t>
      </w:r>
    </w:p>
    <w:p>
      <w:r>
        <w:rPr>
          <w:b/>
        </w:rPr>
        <w:t>E. 7.2</w:t>
      </w:r>
    </w:p>
    <w:p>
      <w:r>
        <w:t>Au plan cantonal, c’est l'art. 24 al. 1 1ère phrase LPCC qui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w:t>
      </w:r>
    </w:p>
    <w:p>
      <w:r>
        <w:rPr>
          <w:b/>
        </w:rPr>
        <w:t>E. 7.3</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w:t>
      </w:r>
    </w:p>
    <w:p>
      <w:r>
        <w:t>A/3651/2021 - 9/12 - relatif ou absolu en vertu de l’art. 25 al. 2 aLPGA a déjà expiré et que la créance est déjà périmée, celle-ci reste périmée (OFAS, Lettre circulaire AI n° 406, du 22 décembre 2020, modifiée le 31 mars 2021 et les références).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1ère phrase LPGA dans sa teneur en vigueur jusqu’au 31 décembre 2020 qui est applicable dans le cas présent. 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A/3651/2021 - 10/12 -</w:t>
      </w:r>
    </w:p>
    <w:p>
      <w:r>
        <w:rPr>
          <w:b/>
        </w:rPr>
        <w:t>E. 10</w:t>
      </w:r>
    </w:p>
    <w:p>
      <w:r>
        <w:t>En l'espèce, la question litigieuse est de déterminer si la recourante a bel et bien partagé son logement avec M. B______ durant la période litigieuse, soit du 1er novembre 2020 au 31 mai 2021, ainsi que peuvent le faire penser les documents transmis à l’intimé par l’OP. La recourante conteste avoir jamais partagé son logement avec M. B______, ce que ce dernier confirme, ainsi que d’autres témoins, tous amis de la recourante. Cette dernière va jusqu’à contester l’authenticité de sa signature, apposée sur les trois quittances de CHF 600.- produites à l’OP. La Cour de céans relèvera nombre d’incohérences dans les propos de la recourante et de M. B______. Ainsi, ce dernier affirme s’être rendu chez sa sœur à sa sortie d’hôpital, fin 2021, alors que sa compagne semble avoir oublié ce fait. On se demande d’ailleurs pour quelles raisons il se serait rendu chez sa sœur plutôt que chez sa compagne. M. B______ dit être titulaire, avec sa compagne, depuis février 2022, d’un bail concernant une maison en France. La date de 2022 semble corroborée par le fait que sa compagne, Mme D______, a quitté officiellement Genève le 16 avril 2022 seulement. Pourtant, le bail produit par la recourante concernant le bien immobilier sis en France a été signé en octobre 2019 déjà. Quant aux allégations de la recourante selon lesquelles elle ne serait pas la signataire des trois reçus fournis à l’OP, elles ne convainquent pas, dans la mesure où la signature apposée sur ces documents est en tous points identique à celle figurant sur sa carte d’identité. Qui plus est, on rappellera qu’à l’époque où ces reçus ont été transmis à l’OP, c’est la recourante elle-même qui représentait M. B______. Elle ne pouvait donc manquer d’en avoir eu connaissance. Il semble probable que lesdites quittances, comme le supposait le représentant de l’intimé en audience, ont été établies afin de servir les intérêts de M. B______ auprès de l’OP. Enfin, ainsi que l’a relevé l’intimé, M. I______ est formellement domicilié chez la recourante et ce, depuis le 1er janvier 2020, selon le registre de l’OCPM alors, qu’à la question de savoir si elle avait autorisé quelqu’un d’autre que M. B______ à utiliser son adresse, l’intéressée a d’abord répondu avec aplomb par la négative. La recourante semble ainsi faire peu de cas des obligations qui lui incombent de tenir le SPC informé de chaque modification de sa situation, de la responsabilité qui est la sienne lorsqu’elle signe des attestations et de la présomption de véracité attachée aux informations ressortant des registres publics. Il lui incombe de faire preuve d’un peu plus de discernement dans la gestion de ses affaires administratives et de ne pas autoriser tout un chacun à utiliser son adresse s’il n’y loge pas réellement, étant rappelé que l’intéressée a des comptes à rendre au SPC s’agissant du calcul des prestations qui lui sont allouées. Cela étant, il n’en demeure pas moins qu’il est dûment établi par pièces et non contestable qu’en décembre 2020, M. B______ a été hospitalisé en urgence et</w:t>
      </w:r>
    </w:p>
    <w:p>
      <w:r>
        <w:t>A/3651/2021 - 11/12 - qu’il l’est resté, aux HUG puis à Beau-Séjour, à tout le moins jusqu’à fin juillet 2021, ce qui recouvre quasiment la période litigieuse. Dans ces conditions, la décision de procéder à un recalcul du droit aux prestations en tenant compte d'un loyer proportionnel de novembre 2020 à mai 2021 au motif que la recourante aurait partagé son logement avec M. B______ durant cette période apparaît injustifiée. La recourante est néanmoins invitée à régulariser sa situation et celle de son beau-fils auprès de l’OCPM, étant rappelé qu’il est loisible à l’intimé de procéder à des enquêtes pour vérifier si sa bénéficiaire partage ou non son logement. Le recours est admis et la décision litigieuse annulée.</w:t>
      </w:r>
    </w:p>
    <w:p>
      <w:r>
        <w:t>A/3651/2021 - 12/12 -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