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ATAS/588/2022 vom 23. Juni 2022</w:t>
      </w:r>
    </w:p>
    <w:p>
      <w:r>
        <w:t>GE Cour de justice, 2022-06-23, FR</w:t>
      </w:r>
    </w:p>
    <w:p>
      <w:r>
        <w:rPr>
          <w:b/>
        </w:rPr>
        <w:t xml:space="preserve">Quelle: </w:t>
      </w:r>
      <w:r>
        <w:t>https://mcp.opencaselaw.ch/entscheid/ge_gerichte_ATAS_588_2022</w:t>
      </w:r>
    </w:p>
    <w:p>
      <w:r>
        <w:t>FR: GE_GERICHTE ATAS/588/2022 du 23 juin 2022</w:t>
      </w:r>
    </w:p>
    <w:p>
      <w:r>
        <w:t>IT: GE_GERICHTE ATAS/588/2022 del 23 giugno 2022</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 Le 1er janvier 2021 est entrée en vigueur la modification du 21 juin 2019 de la LPGA. Toutefois, dans la mesure où le recours était alors pendant devant la Cour de céans, il reste soumis à l'ancien droit (cf. art. 82a LPGA ; RO 2020 5137 ; FF 2018 1597 ; erratum de la CdR de l’Ass. féd. du 19 mai 2021, publié le 18 juin 2021 in RO 2021 358).</w:t>
      </w:r>
    </w:p>
    <w:p>
      <w:r>
        <w:rPr>
          <w:b/>
        </w:rPr>
        <w:t>E. 1.3</w:t>
      </w:r>
    </w:p>
    <w:p>
      <w:r>
        <w:t>Interjeté dans les forme et délai prévus par la loi, le recours est recevable (art. 56ss LPGA).</w:t>
      </w:r>
    </w:p>
    <w:p>
      <w:r>
        <w:rPr>
          <w:b/>
        </w:rPr>
        <w:t>E. 2</w:t>
      </w:r>
    </w:p>
    <w:p>
      <w:r>
        <w:t>Le litige porte sur le bien-fondé de la décision de l’intimée à mettre un terme à sa prise en charge des frais de traitement au 28 février 2021 et au versement des indemnités journalières au 5 avril 2021.</w:t>
      </w:r>
    </w:p>
    <w:p>
      <w:r>
        <w:rPr>
          <w:b/>
        </w:rPr>
        <w:t>E. 3.1</w:t>
      </w:r>
    </w:p>
    <w:p>
      <w:r>
        <w:t>En cas d’atteinte à la santé due à un accident, l’assureur-accidents prend en charge les prestations suivantes : le traitement médical (art. 10ss LAA), les indemnités journalières (art. 16ss LAA), la rente d’invalidité (art. 18 ss LAA) et l’indemnité pour atteinte à l’intégrité (art. 24s LAA). Aux termes de l'art. 10 al. 1 LAA, l'assuré a droit au traitement médical approprié des lésions résultant de l'accident.</w:t>
      </w:r>
    </w:p>
    <w:p>
      <w:r>
        <w:t>A/1559/2021 - 6/14 -</w:t>
      </w:r>
    </w:p>
    <w:p>
      <w:r>
        <w:rPr>
          <w:b/>
        </w:rPr>
        <w:t>E. 3.2</w:t>
      </w:r>
    </w:p>
    <w:p>
      <w:r>
        <w:t>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t>A/1559/2021 - 7/14 -</w:t>
      </w:r>
    </w:p>
    <w:p>
      <w:r>
        <w:rPr>
          <w:b/>
        </w:rPr>
        <w:t>E. 3.3</w:t>
      </w:r>
    </w:p>
    <w:p>
      <w:r>
        <w:t>Selon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w:t>
      </w:r>
    </w:p>
    <w:p>
      <w:r>
        <w:rPr>
          <w:b/>
        </w:rPr>
        <w:t>E. 3.4</w:t>
      </w:r>
    </w:p>
    <w:p>
      <w:r>
        <w:t>Le traitement médical et les indemnités journalières appartiennent, selon la jurisprudence fédérale, aux prestations temporaires (ATF 134 V 109 consid. 4.1 et 133 V 57 consid. 6.6 et 6.7). La limite temporelle de la prise en charge, par l’assureur-accidents, des prestations temporaires précitées (traitement et indemnités journalières) ressort de l’art. 19 LAA relatif aux rentes d’invalidité, qui, pour autant que les conditions soient remplies, prennent le relais des prestations temporaires (ATF 134 V 109 consid. 4.1 ; voir également l’arrêt du Tribunal fédéral des assurances U 391/00 du 9 mai 2001 consid. 2a). À teneur de la disposition précitée, le droit à la rente prend naissance dès qu'il n'y a plus lieu d'attendre de la continuation du traitement médical une sensible amélioration de l'état de l'assuré et que les éventuelles mesures de réadaptation de l'assurance-invalidité ont été menées à terme (art. 19 al. 1, 1ère phrase, LAA). Il en va de même des indemnités journalières conformément à l’art. 16 al. 2 LAA, lequel stipule que le droit à l’indemnité s’éteint dès qu’une rente est versée. La naissance du droit à la rente supprime ainsi la prise en charge du traitement médical et le versement d’indemnités journalières (ATF 134 V 109 consid. 4.1). Le droit à la prise en charge du traitement médical et au versements des indemnités journalières cesse donc dès la naissance du droit à la rente au sens de l'art. 19 al. 1 LAA (art. 16 al. 2 LAA et art. 19 al. 1, 2e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prévu par l'art. 18 al. 1 LAA (arrêt du Tribunal fédéral 8C_1023/2008 du 1er décembre 2009 et les références citées).</w:t>
      </w:r>
    </w:p>
    <w:p>
      <w:r>
        <w:rPr>
          <w:b/>
        </w:rPr>
        <w:t>E. 3.5</w:t>
      </w:r>
    </w:p>
    <w:p>
      <w:r>
        <w:t>Savoir ce que signifie une sensible amélioration de l'état de l'assuré (« namhafte Besserung des Gesundheitszustandes des Versicherten » ; « un sensibile miglioramento della salute dell'assicurato ») au sens de l’art. 19 al. 1 LAA n'est pas précisé par le texte légal. Le concept de l'assurance-accidents sociale étant orienté vers les personnes actives, l'amélioration sensible de l'état de santé est liée à la mesure de l'amélioration de la capacité de travail. Ainsi, le législateur a voulu que l'amélioration de l'état de santé soit d'une certaine importance pour être « sensible ». Les améliorations insignifiantes ne suffisent pas (ATF 134 V 109, consid. 4.3 et les références citées ; voir également les arrêts du Tribunal fédéral des assurances U 244/04 du 20 mai 2005 et U 412/00 du 5 juillet 2001).</w:t>
      </w:r>
    </w:p>
    <w:p>
      <w:r>
        <w:t>A/1559/2021 - 8/14 - L’amélioration sensible doit découler de la continuation du traitement médical (arrêt du Tribunal fédéral 8C_188/2010 consid. 3.2). Cette condition n'est pas remplie en ce qui concerne les contrôles médicaux, la prise de médicaments et les traitements de thérapie manuelle (arrêt du Tribunal fédéral 8C_6306/2016 consid. 5.3). Le simple fait qu'un traitement médical continue à être nécessaire ne suffit pas non plus en soi (arrêt du Tribunal fédéral 8C_956/2009 du 9 mars 2010 consid. 4.1.2).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En matière de physiothérapie, le Tribunal fédéral a récemment précisé que le bénéfice que peut amener la physiothérapie ne fait pas obstacle à la clôture du cas (arrêt du Tribunal fédéral 8C_39/2018 du 11 juillet 2018 et les références). Dans ce contexte, l'état de santé de la personne assurée doit être évalué de manière prévisionnelle et non rétrospective (arrêt du Tribunal fédéral 8C_142/2017 consid. 4 et les arrêts cités), c'est-à-dire à la lumière des circonstances qui prévalaient au moment de la clôture du cas (arrêt du Tribunal fédéral 8C_83/2017 du 11 décembre 2017 consid. 4.3).</w:t>
      </w:r>
    </w:p>
    <w:p>
      <w:r>
        <w:rPr>
          <w:b/>
        </w:rPr>
        <w:t>E. 3.6</w:t>
      </w:r>
    </w:p>
    <w:p>
      <w:r>
        <w:t>Le moment déterminant pour délimiter, du point de vue temporel, le droit au traitement médical et le droit à la rente d'invalidité est celui auquel l'état de santé peut être considéré comme relativement stabilisé (ATF 134 V 109 consid. 4.1 ; voir également arrêt du Tribunal fédéral des assurances U 305/03 du 31 août 2004 consid. 4.1).</w:t>
      </w:r>
    </w:p>
    <w:p>
      <w:r>
        <w:rPr>
          <w:b/>
        </w:rPr>
        <w:t>E. 3.7</w:t>
      </w:r>
    </w:p>
    <w:p>
      <w:r>
        <w:t>En résumé, l’assureur-accidents ne peut clore le cas, à savoir mettre un terme à la prise en charge du traitement médical et au versement des indemnités journalières, que s'il n'y a plus lieu d'attendre de la continuation du traitement médical une sensible amélioration de l'état de l'assuré, ce par quoi il faut entendre l'amélioration ou la récupération de la capacité de travail (ATF 134 V 109 consid. 4.3 ; ATF 133 V 57 consid. 6.6.2 ; ATF 128 V 169 consid. 1, ATF 116 V 41 consid. 2c).</w:t>
      </w:r>
    </w:p>
    <w:p>
      <w:r>
        <w:rPr>
          <w:b/>
        </w:rPr>
        <w:t>E. 4.1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w:t>
      </w:r>
    </w:p>
    <w:p>
      <w:r>
        <w:t>A/1559/2021 - 9/14 -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4.2</w:t>
      </w:r>
    </w:p>
    <w:p>
      <w:r>
        <w:t>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4.2.1</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ATF 123 V 175 consid. 3d; ATF 125 V 351 consid. 3b ee; ATF 135 V 465 consid. 4.4; arrêt du Tribunal fédéral 8C_588 /2015 du 17 décembre 2015 consid. 2).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w:t>
      </w:r>
    </w:p>
    <w:p>
      <w:r>
        <w:t>A/1559/2021 - 10/14 -</w:t>
      </w:r>
    </w:p>
    <w:p>
      <w:r>
        <w:rPr>
          <w:b/>
        </w:rPr>
        <w:t>E. 4.2.2</w:t>
      </w:r>
    </w:p>
    <w:p>
      <w:r>
        <w:t>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A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w:t>
      </w:r>
    </w:p>
    <w:p>
      <w:r>
        <w:rPr>
          <w:b/>
        </w:rPr>
        <w:t>E. 5.1</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5.2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w:t>
      </w:r>
    </w:p>
    <w:p>
      <w:r>
        <w:t>A/1559/2021 - 11/14 - assurances sociales, un principe selon lequel l’administration ou le juge devrait statuer, dans le doute, en faveur de l’assuré (ATF 126 V 319 consid. 5a).</w:t>
      </w:r>
    </w:p>
    <w:p>
      <w:r>
        <w:rPr>
          <w:b/>
        </w:rPr>
        <w:t>E. 5.3</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6</w:t>
      </w:r>
    </w:p>
    <w:p>
      <w:r>
        <w:t>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La jurisprudence réserve les cas dans lesquels le droit à la protection de la bonne foi s'oppose à une suppression immédiate des prestations par l'assureur-accidents (ATF 130 V 380 consid. 2.3.1).</w:t>
      </w:r>
    </w:p>
    <w:p>
      <w:r>
        <w:rPr>
          <w:b/>
        </w:rPr>
        <w:t>E. 7</w:t>
      </w:r>
    </w:p>
    <w:p>
      <w:r>
        <w:t>En l'espèce, se basant sur l'appréciation du Dr E______, l'intimée a mis un terme au paiement des indemnités journalières avec effet au 5 avril 2021 et à la prise en charge des frais de traitement avec effet au 28 février 2021, au motif que l’état de santé de l’assuré était stabilisé et qu’une reprise de l’activité habituelle de</w:t>
      </w:r>
    </w:p>
    <w:p>
      <w:r>
        <w:t>A/1559/2021 - 12/14 - déménageur était exigible trois mois après l'examen de son médecin d'arrondissement, intervenu le 5 janvier 2021. Le recourant conteste cette décision. Il admet que sa cheville est guérie, mais allègue souffrir encore de son genou gauche et, surtout, de lombalgies qui lui interdisent de reprendre son activité de déménageur. Il ajoute qu'il est en outre affaibli psychologiquement. L'intimée s'étant basée, pour rendre sa décision, sur les avis du Dr E______, il convient en premier lieu d'examiner la valeur probante de ces derniers, le second complétant le premier. Force est tout d'abord de constater que l'appréciation du Dr E______ remplit, sur le plan formel, toutes les exigences auxquelles la jurisprudence soumet la valeur probante d'un tel document. En effet, elle contient notamment le résumé des pièces principales du dossier, les indications subjectives du recourant, la description des observations cliniques, ainsi qu'une discussion générale du cas. Le Dr E______ l'a d'ailleurs émise après avoir examiné lui-même le recourant. Or, le 5 janvier 2021, ce médecin a constaté que l'état de l'assuré était stabilisé, sans séquelle objectivable. Il a observé une marche sans boiterie, ni particularité, l'absence d'atrophie musculaire, un genou gauche bien mobile et non douloureux à la palpation, une discrète raideur au niveau du rachis lombaire avec effacement de la lordose, un status rassurant, avec une absence d'asymétrie au niveau des périmètres musculaires et un équilibre retrouvé. Le médecin a retenu les diagnostics d'entorse de la cheville gauche, de contusion du genou gauche et de lombalgies chroniques, ces dernières constituant les plaintes les plus importantes, la cheville gauche étant non douloureuse et stable, le genou ne montrant ni blocage, ni gonflement, ni instabilité. En définitive, le médecin a estimé que l'activité habituelle de déménageur était exigible, tout en préconisant une reprise progressive excluant dans un premier temps le port répété de charges lourdes et en montée. Il n'est pas contesté que l'entorse à la cheville gauche est guérie sans séquelles. S'agissant du genou gauche, le Dr E______ a précisé que la rotule était bien mobile dans tous les plans, non douloureuse à la palpation et que la flexion/extension n'était aucunement limitée en comparaison de l'autre genou. L'IRM réalisée une année après le traumatisme avait mis en évidence une lésion ostéochondrale d'allure chronique, sans signe de désolidarisation du fragment, sans atteinte intra-articulaire, sans épanchement, ni lésion méniscale ou ligamentaire. Dès lors, la causalité naturelle avec l’événement déclaré était tout au plus possible dans la mesure où, à part la douleur alléguée, à aucun moment une souffrance du genou gauche n’avait été objectivée. Là encore, les conclusions du médecin d'arrondissement, motivées, apparaissent convaincantes et ne sont pas contredites par les autres documents médicaux versés au dossier. Au demeurant,</w:t>
      </w:r>
    </w:p>
    <w:p>
      <w:r>
        <w:t>A/1559/2021 - 13/14 - le recourant a admis en audience qu'en règle générale, ce genou ne "posait pas problème". S'agissant des lombalgies - plaintes les plus importantes -, le bilan rhumatismal et par imagerie ne permettaient pas de retenir un lien de causalité avec l'accident car il n'avait mis en évidence aucune lésion traumatique, mais une atteinte dégénérative débutante multi-étagée, conclusion dont ne permet pas de s'écarter le courrier du Dr F______, rhumatologue, bien au contraire, puisque ce médecin évoque des hernies intraspongieuses avec discopathies inflammatoires, une discopathie L5-S1 et ostéosclérose des sacro-iliaques, atteintes clairement dégénératives et ne relevant donc pas de la responsabilité de l'assureur-accident. Le médecin a confirmé l'exigibilité de l’activité habituelle de déménageur, rappelant que l'accident n'avait eu pour conséquence qu'une entorse de la cheville gauche guérie et une contusion du genou gauche désormais asymptomatique. Ainsi, l'argumentation du recourant ne saurait être suivie, dès lors qu'aucun élément au dossier ne permet de remettre en cause l'appréciation du médecin d'arrondissement. On notera enfin que la fragilité psychologique alléguée pour la première fois par le recourant au cours de la procédure devant la Cour de céans est manifestement sans lien de causalité avec les atteintes dont l'intimée a à répondre. En conséquence, il n'y a pas lieu de s'écarter de l'appréciation du Dr E______. Il convient donc de reconnaître que - si l'on ne prend en considération que les seules atteintes à la santé en lien avec l'accident, à savoir l'entorse à la cheville et la contusion du genou gauches -, le recourant a recouvré une pleine capacité de travail dans son activité habituelle le 5 avril 2021. Le recourant a requis la mise en œuvre d’une expertise pour déterminer sa capacité de travail. Cette mesure d'instruction ne s’avère pas pertinente au vu de ce qui précède, de sorte que la chambre de céans n’y donnera pas suite, par appréciation anticipée des preuves (ATF 130 II 425 consid. 2.1). Il convient de rappeler que, dans la procédure d’octroi de prestations d’assurances sociales, il n’existe un droit formel à la mise en œuvre d’une expertise médicale qu’en cas de doutes quant à la fiabilité et la pertinence des constatations des médecins internes à l’assurance (ATF 135 V 465 consid. 4), ce qui n’est pas le cas en l'espèce.</w:t>
      </w:r>
    </w:p>
    <w:p>
      <w:r>
        <w:t>* * * * *</w:t>
      </w:r>
    </w:p>
    <w:p>
      <w:r>
        <w:t>A/1559/2021 - 14/14 -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