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ATAS/588/2014 vom 7. Mai 2014</w:t>
      </w:r>
    </w:p>
    <w:p>
      <w:r>
        <w:t>GE Cour de justice, 2014-05-07, FR</w:t>
      </w:r>
    </w:p>
    <w:p>
      <w:r>
        <w:rPr>
          <w:b/>
        </w:rPr>
        <w:t xml:space="preserve">Quelle: </w:t>
      </w:r>
      <w:r>
        <w:t>https://mcp.opencaselaw.ch/entscheid/ge_gerichte_ATAS_588_2014</w:t>
      </w:r>
    </w:p>
    <w:p>
      <w:r>
        <w:t>FR: GE_GERICHTE ATAS/588/2014 du 7 mai 2014</w:t>
      </w:r>
    </w:p>
    <w:p>
      <w:r>
        <w:t>IT: GE_GERICHTE ATAS/588/2014 del 7 maggio 2014</w:t>
      </w:r>
    </w:p>
    <w:p>
      <w:pPr>
        <w:pStyle w:val="Heading2"/>
      </w:pPr>
      <w:r>
        <w:t>Erwägungen</w:t>
      </w:r>
    </w:p>
    <w:p>
      <w:r>
        <w:rPr>
          <w:b/>
        </w:rPr>
        <w:t>E. 15</w:t>
      </w:r>
    </w:p>
    <w:p>
      <w:r>
        <w:t>Par décision du 6 août 2013, l’OAI a confirmé son projet de décision.</w:t>
      </w:r>
    </w:p>
    <w:p>
      <w:r>
        <w:rPr>
          <w:b/>
        </w:rPr>
        <w:t>E. 16</w:t>
      </w:r>
    </w:p>
    <w:p>
      <w:r>
        <w:t>Par acte du 20 août 2013, l’assurée a formé recours contre cette décision en concluant implicitement à son annulation et à l’octroi des prestations d’assurance- invalidité. Elle s’est prévalu de son état et a demandé une comparution personnelle.</w:t>
      </w:r>
    </w:p>
    <w:p>
      <w:r>
        <w:rPr>
          <w:b/>
        </w:rPr>
        <w:t>E. 17</w:t>
      </w:r>
    </w:p>
    <w:p>
      <w:r>
        <w:t>Dans sa réponse du 17 septembre 2013, l’intimé a conclu au rejet du recours en se fondant sur l’expertise pluridisciplinaire de la Clinique Corela, à laquelle il attribuait une pleine valeur probante.</w:t>
      </w:r>
    </w:p>
    <w:p>
      <w:r>
        <w:rPr>
          <w:b/>
        </w:rPr>
        <w:t>E. 18</w:t>
      </w:r>
    </w:p>
    <w:p>
      <w:r>
        <w:t>Par ordonnance du 2 décembre 2013, la chambre de céans a mis en œuvre une expertise psychiatrique judiciaire et l’a confiée au Docteur I______, psychiatre FMH.</w:t>
      </w:r>
    </w:p>
    <w:p>
      <w:r>
        <w:rPr>
          <w:b/>
        </w:rPr>
        <w:t>E. 19</w:t>
      </w:r>
    </w:p>
    <w:p>
      <w:r>
        <w:t>Dans son rapport du 14 février 2014, l’expert a posé les diagnostics de dysthymie, d’anxiété généralisée et de trouble panique, ainsi que de trouble de la personnalité émotionnellement labile, type borderline. Quant aux limitations fonctionnelles, il a exposé que la dysthymie pouvait entraîner une diminution modérée de l’énergie disponible, de la capacité de se motiver et d’entreprendre. Ces limitations étaient renforcées par la composante anxieuse qui diminuait aussi l’énergie et la capacité de concentration. La discrète exophtalmie n’était pas une contre-indication à l’exercice d’une activité professionnelle exposée aux regards d’autrui. Cette</w:t>
      </w:r>
    </w:p>
    <w:p>
      <w:r>
        <w:t>A/2685/2013 - 5/10 - exposition était au contraire le meilleur traitement pour diminuer l’anxiété sociale en rapport avec cette atteinte physique. Quant au trouble de la personnalité il n’était pas incapacitant, mais altérait la capacité de gérer correctement le stress. Globalement, ces limitations fonctionnelles entraînaient une diminution de la capacité de travail de l’ordre de 30 %. L’expert judiciaire a écarté le diagnostic de trouble dépressif récurrent, estimant qu’il ne pouvait pas être étayé par l’anamnèse. Lors des interventions psychiatriques de 1999 à 2008, il s’était toujours agi de réactions dépressives aigües provoquées par un facteur de stress et les interventions avaient été brèves. Quant au Dr E______, sa description de la dépression était insuffisamment précise pour que l’on puisse retenir le diagnostic d’épisode dépressif franc. Il n’y avait pas non plus suffisamment d’éléments pour poser les diagnostics de trouble phobique (phobie sociale ou agoraphobie). L’expert judiciaire a aussi écarté le diagnostic de trouble somatoforme douloureux, en présence d’un substrat organique aux douleurs.</w:t>
      </w:r>
    </w:p>
    <w:p>
      <w:r>
        <w:rPr>
          <w:b/>
        </w:rPr>
        <w:t>E. 20</w:t>
      </w:r>
    </w:p>
    <w:p>
      <w:r>
        <w:t>Dans son avis médical du 1er avril 2014, la Dresse H______ du SMR s’est ralliée à l’expertise judiciaire et admis une incapacité de travail de 30 % depuis septembre 2011.</w:t>
      </w:r>
    </w:p>
    <w:p>
      <w:r>
        <w:rPr>
          <w:b/>
        </w:rPr>
        <w:t>E. 21</w:t>
      </w:r>
    </w:p>
    <w:p>
      <w:r>
        <w:t>Par écriture du 7 avril 2014, l’intimé a fait sien cet avis médical.</w:t>
      </w:r>
    </w:p>
    <w:p>
      <w:r>
        <w:rPr>
          <w:b/>
        </w:rPr>
        <w:t>E. 22</w:t>
      </w:r>
    </w:p>
    <w:p>
      <w:r>
        <w:t>Sur ce, la cause a été gardée à juger.</w:t>
      </w:r>
    </w:p>
    <w:p>
      <w:r>
        <w:t>EN DROIT 1. Conformément à l'art. 134 al. 1 let. a ch. 2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Interjeté dans les délai et forme prescrits par la loi, le recours est recevable (art. 56 ss LPGA). 3. L’objet du litige est la question de savoir si la recourante présente une invalidité lui ouvrant le droit aux prestations. Il est à cet égard à relever que l'intimé est entré en matière sur la nouvelle demande de la recourante, contrairement à ce qu'il a indiqué dans sa décision. En effet, il a procédé à une instruction de la cause, en mettant notamment en œuvre une expertise multidisciplinaire.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w:t>
      </w:r>
    </w:p>
    <w:p>
      <w:r>
        <w:t>A/2685/2013 - 6/10 -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5.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A/2685/2013 - 7/10 - description des interférences médicales soit claire et enfin que les conclusions de l'expert soient bien motivées (ATF 125 V 351 consid. 3). 8.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A/2685/2013 - 8/10 - 9. En l’espèce, la recourante a fait l’objet d’une expertise judiciaire par le Dr I______ qui remplit tous les réquisits jurisprudentiels pour lui reconnaître une pleine valeur probante. Cette expertise a en effet été rendue en pleine connaissance du dossier médical, prend en compte les plaintes de la recourante, est fondée sur des investigations très approfondies et arrive à des conclusions convaincantes, après avoir discuté les diagnostics divergents des autres médecins consultés. Selon l’expert judiciaire, la recourante souffre d’une dysthymie, d’une anxiété généralisée et d’un trouble panique, ainsi que d’un trouble de la personnalité émotionnellement labile, type borderline. Ces pathologies diminuent la capacité de travail de 30 % depuis au moins septembre 2011 dans l'exercice de l'activité habituelle. Il convient par ailleurs de relever que le médecin du SMR et l’intimé se rallient à cette conclusion de l’expertise. Quant à la recourante, elle ne s’est pas déterminée. Il n’y a ainsi aucune raison de s’écarter de cette appréciation, de sorte qu'une capacité de travail de 70% dans la vente est à retenir. 10. Quant à la perte de gain, il convient de comparer les revenus sans et avec invalidité, la différence permettant de calculer le taux d'invalidité (méthode générale de comparaison des revenus; ATF 128 V 29 consid. 1; ATF 104 V 135 consid. 2a et 2b). Pour fixer le revenu sans invalidité, il faut établir ce que l'assuré aurait, au degré de la vraisemblance prépondérante, réellement pu obtenir au moment déterminant s'il n'était pas invalide (RAMA 2000 n°U 400 p. 381 consid. 2a).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Les salaires ressortant des statistiques, retenus à titre de salaires d'invalide, doivent être réduits en fonction de l'ensemble des circonstances personnelles et professionnelles du cas particulier (limitations liées au handicap, âge, années de service, nationalité/catégorie d'autorisation de séjour et taux d'occupation). Une déduction globale maximum de 25% sur le salaire statistique permet de tenir compte des différents éléments qui peuvent influencer le revenu d'une activité lucrative (ATF 126 V 75 consid. 5b/aa-cc).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w:t>
      </w:r>
    </w:p>
    <w:p>
      <w:r>
        <w:t>A/2685/2013 - 9/10 - d’invalidité se confondant avec celui de l’incapacité de travail, sous réserve d’une éventuelle réduction du salaire statistique (Arrêts du Tribunal fédéral des assurances I 43/05 du 30 juin 2006 consid. 5.2 et I 1/03 du 15 avril 2003 consid. 5.2). 11. En l’espèce, comme relevé ci-dessus, une diminution de la capacité de gain de 30 % est à retenir dans l'activité habituelle. Partant, le degré d'invalidité correspond au taux de la capacité de travail et s'élève à 70%. Se pose toutefois la question de savoir s’il y a lieu de faire un abattement supplémentaire sur le salaire d'invalide pour tenir compte des handicaps, étant précisé qu’il n’y a pas d’autres facteurs à prendre en considération, la recourante étant relativement jeune, de nationalité suisse et maîtrisant parfaitement le français. A cet égard, il sied de prendre en considération qu'elle souffre de douleurs chroniques, lesquelles ont un substrat organique, dans la mesure où l’expert de la Clinique Corela constate une tendinite du moyen fessier, des discopathies non compressives, une arthrose interapophysaire postérieure, une arthrose sacro-iliaque droite et une sacralisation incomplète de L5. Toutefois, ces pathologies n’engendrent qu’une limitation fonctionnelle pour le port de charges supérieures à 25 kg occasionnellement, de 5 à 12 kg fréquemment ou supérieures à 5 kg en permanence. Dès lors qu’un emploi dans la vente n’implique en principe pas le port de lourdes charges, la chambre de céans est de l’avis que les handicaps physiques ne devraient pas péjorer la capacité de travail de la recourante, de sorte qu’un abattement n’est pas justifié. En tout état de cause, même en retenant un rabattement de 10 % sur le salaire d'invalide, la perte de gain ne serait que de 37 %, soit inférieure au taux de 40 % qui permet d’ouvrir le droit à la rente. 12. Au vu de ce qui précède, le recours sera rejeté. 13. Dans la mesure où la recourante est entretenue par l’Hospice Général, la chambre de céans renonce à percevoir un émolument de justice.</w:t>
      </w:r>
    </w:p>
    <w:p>
      <w:r>
        <w:t>A/2685/2013 - 10/10 -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