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ATAS/588/2010 vom 26. Mai 2010</w:t>
      </w:r>
    </w:p>
    <w:p>
      <w:r>
        <w:t>GE Cour de justice, 2010-05-26, FR</w:t>
      </w:r>
    </w:p>
    <w:p>
      <w:r>
        <w:rPr>
          <w:b/>
        </w:rPr>
        <w:t xml:space="preserve">Quelle: </w:t>
      </w:r>
      <w:r>
        <w:t>https://mcp.opencaselaw.ch/entscheid/ge_gerichte_ATAS_588_2010</w:t>
      </w:r>
    </w:p>
    <w:p>
      <w:r>
        <w:t>FR: GE_GERICHTE ATAS/588/2010 du 26 mai 2010</w:t>
      </w:r>
    </w:p>
    <w:p>
      <w:r>
        <w:t>IT: GE_GERICHTE ATAS/588/2010 del 26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le degré d'invalidité du recourant.</w:t>
      </w:r>
    </w:p>
    <w:p>
      <w:r>
        <w:rPr>
          <w:b/>
        </w:rPr>
        <w:t>E. 4</w:t>
      </w:r>
    </w:p>
    <w:p>
      <w:r>
        <w:t>D'emblée, l'intimé estime toutefois que l'instruction du dossier par ses soins est lacunaire, au vu de l'aggravation de l'état de santé alléguée par le recourant. a) L’autorité administrative doit constater d’office les faits déterminants, c’est-à- dire toutes les circonstances dont dépend l’application des règles de droit (ATF 117 V 261 consid. 3 p. 263 ; T. LOCHER Grundriss des Sozialversicherungsrecht, Bern 1994, t.1, p. 438). Ainsi, l’administration est tenue d’ordonner une instruction complémentaire lorsque les allégations des parties et les éléments ressortant du dossier requièrent une telle mesure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 b) En l'occurrence, le recourant a fait l'objet d'une expertise interdisciplinaire en janvier 2008. Dans leur rapport du 6 mai 2008, les experts arrivent à la conclusion</w:t>
      </w:r>
    </w:p>
    <w:p>
      <w:r>
        <w:t>A/1237/2010 - 7/8 - que sa capacité de travail est de 50 %. Elle est diminuée de 25 % pour des raisons somatiques et de 50 % pour des raisons psychiatriques. Le recourant conteste avoir une capacité de travail de 50 % et fait valoir une aggravation de son état depuis cette expertise. Il résulte de l'attestation médicale du Dr A__________ du 12 février 2010 que le recourant a fait l'objet de deux interventions chirurgicales postérieurement à l'expertise, à savoir le 6 juin 2008 et le 13 juin 2009. Par ailleurs, depuis le 26 janvier 2007, il a dû être hospitalisé à de nombreuses reprises en raison de décompensation hypérosmolaire ou hypoglycémique de son diabète, le dernier en novembre 2009. Cela étant, il y a lieu de constater que l'état du recourant s'est péjoré sur le plan somatique, de sorte que le dossier doit être réévalué. Il convient dès lors de retourner la cause à l'intimé pour instruction complémentaire par une expertise complémentaire au Centre d'expertise médicale, pour apprécier la capacité de travail du recourant au niveau orthopédique et diabétique.</w:t>
      </w:r>
    </w:p>
    <w:p>
      <w:r>
        <w:rPr>
          <w:b/>
        </w:rPr>
        <w:t>E. 5</w:t>
      </w:r>
    </w:p>
    <w:p>
      <w:r>
        <w:t>Au vu de ce qui précède, la décision dont est recours sera annulée et la cause renvoyée à l'intimé.</w:t>
      </w:r>
    </w:p>
    <w:p>
      <w:r>
        <w:rPr>
          <w:b/>
        </w:rPr>
        <w:t>E. 6</w:t>
      </w:r>
    </w:p>
    <w:p>
      <w:r>
        <w:t>L'intimé qui succombe sera condamné à un émolument de justice de 200 fr.</w:t>
      </w:r>
    </w:p>
    <w:p>
      <w:r>
        <w:t>A/1237/2010 - 8/8 -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