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ATAS/587/2025 vom 13. August 2025</w:t>
      </w:r>
    </w:p>
    <w:p>
      <w:r>
        <w:t>GE Cour de justice, 2025-08-13, FR</w:t>
      </w:r>
    </w:p>
    <w:p>
      <w:r>
        <w:rPr>
          <w:b/>
        </w:rPr>
        <w:t xml:space="preserve">Quelle: </w:t>
      </w:r>
      <w:r>
        <w:t>https://mcp.opencaselaw.ch/entscheid/ge_gerichte_ATAS_587_2025</w:t>
      </w:r>
    </w:p>
    <w:p>
      <w:r>
        <w:t>FR: GE_GERICHTE ATAS/587/2025 du 13 août 2025</w:t>
      </w:r>
    </w:p>
    <w:p>
      <w:r>
        <w:t>IT: GE_GERICHTE ATAS/587/2025 del 13 agosto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droit de la recourante à une rente d’invalidité de 60% d’une rente entière dès le 1er janvier 2023.</w:t>
      </w:r>
    </w:p>
    <w:p>
      <w:r>
        <w:rPr>
          <w:b/>
        </w:rPr>
        <w:t>E. 3.1</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applicable par analogie (ATF 148 V 321 consid. 7.3.1 ; 145 V 209 consid. 5.3 et les références ; 125 V 413 consid. 2d et les références).</w:t>
      </w:r>
    </w:p>
    <w:p>
      <w:r>
        <w:t>A/1815/2024 - 9/14 - Dans le cadre du développement continu de l’AI, la LAI, le règlement du 17 janvier 1961 sur l’assurance-invalidité (RAI - RS 831.201) et l'art. 17 LPGA notamment ont été modifiés avec effet au 1er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Dans les cas de révision selon l'art. 17 LPGA, conformément aux principes généraux du droit intertemporel (cf.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de la modification se détermine selon l'art. 88a RAI (arrêts du Tribunal fédéral 8C_55/2023 du 11 juillet 2023 consid. 2.2 ; 8C_644/2022 du 8 février 2023 consid. 2.2.3). En l’occurrence, il n’est pas contesté que le droit à la rente de la recourante est né antérieurement au 1er janvier 2022. Toutefois, la question litigieuse est de savoir si un motif de révision est survenu, selon l’art. 88a RAI, à compter de cette date, de sorte que les dispositions applicables seront citées dans leur nouvelle teneur. Lorsqu’un droit à la rente a pris naissance antérieurement au 1er janvier 2022, un éventuel passage au nouveau système de rentes linéaire s'effectue, pour les bénéficiaires de rente qui n’avaient pas encore 55 ans à cette date, comme c’est le cas de la recourante, conformément à la let. b des dispositions transitoires de la LAI relatives à la modification du 19 juin 2020 (ci-après : dispositions transitoires de la LAI). Pour ces assurés, l’ancien système de rente est maintenu jusqu’au moment où, lors d’une révision, le taux d’invalidité subit une modification d’au moins 5 points de pourcentage (cf. art. 17 al. 1 LPGA) et que cette modification comporte soit une augmentation du taux d’invalidité qui a pour effet une augmentation de la quotité de la rente, soit une diminution du taux d’invalidité qui a pour effet une diminution de la quotité de la rente (cf. let. b al. 1 et 2 dispositions transitoires de</w:t>
      </w:r>
    </w:p>
    <w:p>
      <w:r>
        <w:t>A/1815/2024 - 10/14 - la LAI). Dans ce cas, la fraction de la rente est adaptée aux nouvelles dispositions et transférée dans le nouveau système de rentes linéaire.</w:t>
      </w:r>
    </w:p>
    <w:p>
      <w:r>
        <w:rPr>
          <w:b/>
        </w:rPr>
        <w:t>E. 3.2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w:t>
      </w:r>
    </w:p>
    <w:p>
      <w:r>
        <w:rPr>
          <w:b/>
        </w:rPr>
        <w:t>E. 3.3</w:t>
      </w:r>
    </w:p>
    <w:p>
      <w:r>
        <w:t>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 La quotité de la rente est déterminée en fonction de l’incapacité de gain au moment où le droit à la rente prend naissance (cf. art. 28 al. 1 let. c LAI). Le droit à la rente naît au plus tôt à l’échéance d’une période de six mois à compter de la date à laquelle l’assuré à fait valoir son droit aux prestations conformément à l’art. 29 al. 1 LPGA, mais pas avant le mois qui suit le 18e anniversaire de l’assuré (art. 29 al. 1 LAI). 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Selon l’art. 24septies RAI, le statut d’un assuré est déterminé en fonction de la situation professionnelle dans laquelle il se trouverait s’il n’était pas atteint dans sa santé (al. 1). L’assuré est réputé exercer une activité lucrative au sens de l’art. 28a al. 1 LAI dès lors qu’en bonne santé, il exercerait une activité lucrative à un taux d’occupation de 100% ou plus (al. 2 let. a). L’art. 25 al. 1 RAI, est réputé revenu au sens de l’art. 16 LPGA le revenu annuel présumable sur lequel les cotisations seraient perçues en vertu de la LAVS,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LAPG et des indemnités journalières de l’assurance-invalidité (let. b). Les revenus déterminants au sens de l’art. 16 LPGA sont établis sur la base de la même période et au regard du marché du travail suisse (art. 25 al. 2 RAI). Selon la jurisprudence, il est possible de fixer la perte de gain d'un assuré directement sur la base de son incapacité de travail en faisant une comparaison en pourcent. Cette méthode constitue une variante admissible de la comparaison des revenus basée sur des données statistiques : le revenu hypothétique réalisable sans invalidité équivaut alors à 100%, tandis que le revenu d'invalide est estimé à un pourcentage plus bas, la différence en pour-cent entre les deux valeurs exprimant</w:t>
      </w:r>
    </w:p>
    <w:p>
      <w:r>
        <w:t>A/1815/2024 - 12/14 - le taux d'invalidité (comparaison en pour-cent ; ATF 119 V 475 consid. 2b ; 114 V 313 consid. 3a ; arrêt du Tribunal fédéral 8C_312/2016 du 13 mars 2017 consid. 5.4.1). L'application de cette méthode se justifie lorsque les salaires avant et/ou après invalidité ne peuvent pas être déterminés, lorsque l'activité exercée précédemment est encore possible (en raison par exemple du contrat de travail qui n'a pas été résilié), ou encore lorsque cette activité offre de meilleures possibilités de réintégration professionnelle, en raison, par exemple, d'un salaire sans invalidité supérieur à celui avec invalidité (arrêt du Tribunal fédéral 9C_237/2016 du 24 août 2016 consid. 2.2 et les références). Une simple comparaison de pourcentage peut suffire lorsque l’assuré dispose d’une capacité résiduelle de travail dans son activité habituelle et qu’aucune autre activité n’est mieux adaptée à ses limitations fonctionnelles. Le taux d’invalidité est alors identique au taux d’incapacité de travail (cf. ATF 114 V 310 consid. 3a ; arrêt du Tribunal fédéral 9C_562/2022 du 12 septembre 2023 consid. 6 et les références).</w:t>
      </w:r>
    </w:p>
    <w:p>
      <w:r>
        <w:rPr>
          <w:b/>
        </w:rPr>
        <w:t>E. 4</w:t>
      </w:r>
    </w:p>
    <w:p>
      <w:r>
        <w:t>En l’occurrence, le SMR a retenu le 23 février 2024, sur la base du dossier de la recourante, qu’aucune aggravation n’avait été rendue plausible sur le plan ORL et que bien que sa psychiatre retenait une fatigue multifactorielle fluctuante et un épisode dépressif moyen associé à des facteurs contextuels défavorables, avec une capacité de travail de 30% au 30 novembre 2023 et de 40% au 12 janvier 2024, il fallait retenir que la recourante était capable de travailler comme secrétaire à 60%, car les limitations fonctionnelles apparaissaient superposables à celles qui prévalaient précédemment et qui avaient été jugées compatibles avec l’exercice de l’activité de secrétaire à 60%. Ainsi, la psychiatre semblait faire une appréciation différente d’un même état de fait tenant compte notamment des facteurs de stress professionnel. Au vu de ces éléments, les conclusions du SMR du 26 mai 2023 restaient valables. Cet avis du SMR ne permet pas de retenir comme établi, au degré de la vraisemblance prépondérante, que l’état de santé de la recourante ne s’est pas aggravé en août 2023 ni qu’elle était capable de travailler à 60%. Il est en effet sérieusement remis en cause par les rapports médicaux motivés des médecins traitants de la recourante, soit ceux établis le 5 septembre 2023 par la Dre F______ et le 5 octobre 2023 par la Dre E______. Il ressort également de ces rapports que la capacité de travail de la recourante pourrait avoir déjà été de moins de 60% depuis janvier 2023, car elle pourrait avoir effectué ce taux en surcharge et en prenant des congés permettant de le gérer (cinq semaines de vacances entre avril et juillet 2023). Par ailleurs, dans la mesure où le rapport final MOP du 5 juin 2023 retenait, par erreur, une capacité de travail de 60%, au lieu d’un 40%, en qualité de secrétaire aux HUG, dans un environnement adapté à ses limitations fonctionnelles, il se justifie de lui soumettre à nouveau le cas, afin qu’il se prononce à nouveau sur la</w:t>
      </w:r>
    </w:p>
    <w:p>
      <w:r>
        <w:t>A/1815/2024 - 13/14 - capacité de travail de la recourante en tenant compte des rapports médicaux des médecins traitants de la recourante ainsi que des constats faits par son employeur. Il convient de rappeler à cet égard que selon une note de travail de l’OAI du 31 janvier 2024, suite à une séance aux HUG du 30 janvier 2024, en fin de prestation depuis le 29 décembre 2022, la capacité de travail de la recourante était évaluée entre 30 et 40% en tant que secrétaire et il semblait impossible d’augmenter son taux de travail en raison de son état de santé. Dans le cas où le service de réadaptation confirmerait une capacité de travail de 60% dans une activité adaptée, il serait alors nécessaire de faire procéder à une expertise indépendante (ORL et psychiatrique) de la recourante.</w:t>
      </w:r>
    </w:p>
    <w:p>
      <w:r>
        <w:rPr>
          <w:b/>
        </w:rPr>
        <w:t>E. 5</w:t>
      </w:r>
    </w:p>
    <w:p>
      <w:r>
        <w:t>Le recours est ainsi partiellement fondé. La décision querellée sera annulée en tant qu’elle concerne le droit à la rente de la recourante dès le 1er janvier 2023 et la cause sera renvoyée à l’intimé pour instruction complémentaire pour la période courant dès le 1er janvier 2023. La décision sera confirmée pour les périodes précédentes. La recourante obtenant gain de cause et étant assistée d’un conseil, elle a droit à des dépens qui seront fixés à CHF 2'500.- et mis à la charge de l’intimé (art. 61 let. g LPGA). Un émolument de CHF 200.- sera mis à la charge de l’intimé (art. 69 al. 1bis LAI).</w:t>
      </w:r>
    </w:p>
    <w:p>
      <w:r>
        <w:t>A/1815/2024 - 14/14 -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