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ATAS/587/2018 vom 26. Juni 2018</w:t>
      </w:r>
    </w:p>
    <w:p>
      <w:r>
        <w:t>GE Cour de justice, 2018-06-26, FR</w:t>
      </w:r>
    </w:p>
    <w:p>
      <w:r>
        <w:rPr>
          <w:b/>
        </w:rPr>
        <w:t xml:space="preserve">Quelle: </w:t>
      </w:r>
      <w:r>
        <w:t>https://mcp.opencaselaw.ch/entscheid/ge_gerichte_ATAS_587_2018</w:t>
      </w:r>
    </w:p>
    <w:p>
      <w:r>
        <w:t>FR: GE_GERICHTE ATAS/587/2018 du 26 juin 2018</w:t>
      </w:r>
    </w:p>
    <w:p>
      <w:r>
        <w:t>IT: GE_GERICHTE ATAS/587/2018 del 26 giugno 2018</w:t>
      </w:r>
    </w:p>
    <w:p>
      <w:pPr>
        <w:pStyle w:val="Heading2"/>
      </w:pPr>
      <w:r>
        <w:t>Erwägungen</w:t>
      </w:r>
    </w:p>
    <w:p>
      <w:r>
        <w:rPr>
          <w:b/>
        </w:rPr>
        <w:t>E. 1</w:t>
      </w:r>
    </w:p>
    <w:p>
      <w:r>
        <w:t>a. Selon l’art. 58 de la loi fédérale sur la partie générale du droit des assurances sociales, du 6 octobre 2000 (LPGA - RS 830.1),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(al. 2). Au jour du dépôt de la demande, le recourant était domicilié en France. Cependant, dans la mesure où son dernier employeur, la société B______ SA, était sise à Genève, les tribunaux genevois sont compétents.</w:t>
      </w:r>
    </w:p>
    <w:p>
      <w:r>
        <w:t>A/2800/2017 - 8/17 - b.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Aux termes de l'art. 6 al. 2 LAA, dans sa teneur en vigueur jusqu’au 31 décembre 2016, le Conseil fédéral peut inclure dans l'assurance des lésions corporelles qui sont semblables aux conséquences d'un accident. En vertu de cette délégation de compétence, le Conseil fédéral a édicté l'art. 9 al. 2 OLAA, qui prévoit, dans sa teneur en vigueur jusqu’au 31 décembre 2016,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et h) les lésions du tympan. Cette liste est exhaustive (ATF 116 V 136 consid. 4a ; ATF 116 V 145 consid. 2b). 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123 V 43 consid. 2b ; ATF 116 V 145 consid. 2c ; ATF 114 V 298 consid. 3c). Il faut qu'un facteur extérieur soit une cause possible de la lésion, au moins à titre partiel, pour qu'une lésion assimilée à un accident soit admise. Cela étant, lorsqu'une lésion mentionnée à l'art. 9 al. 2 OLAA est survenue sans avoir été déclenchée par un facteur extérieur soudain et involontaire, elle est manifestement imputable à une maladie ou à des phénomènes dégénératifs, de sorte qu'il appartiendra à l'assurance-maladie d'en</w:t>
      </w:r>
    </w:p>
    <w:p>
      <w:r>
        <w:t>A/2800/2017 - 10/17 - prendre en charge les suites (ATF 123 V 44 consid. 2b ; ATF 116 V 147 consid. 2c ; ATF 114 V 301 consid. 3c ; arrêt du Tribunal fédéral des assurances U 162/06 du 10 avril 2007 consid. 4.2). Ainsi, à l'exception du caractère "extraordinaire" de la cause extérieure, toutes les autres conditions constitutives de la notion d'accident doivent être réalisées (arrêt du Tribunal fédéral des assurances U 315/03 du 23 novembre 2004 consid. 2.2). D'après la jurisprudence, une déchirure de la coiffe des rotateurs constitue une déchirure de tendons au sens de l'art. 9 al. 2 let. f OLAA. Elle est assimilée à un accident, même si elle fait suite à un événement en soi relativement ordinaire, insuffisant pour entraîner à lui seul une déchirure en l’absence d’une atteinte dégénérative préexistante (ATF 123 V 43 ; voir également arrêt du Tribunal fédéral des assurances U 162/06 du 10 avril 2007 consid. 5.1). En revanche, une lésion SLAP (Superior Labrum from Anterior to Posterior) ne fait pas partie des lésions assimilées au sens de l’art. 9 al. 2 OLAA (voir notamment l’arrêt du Tribunal fédéral 8C_835/2013 du 28 janvier 2014 consid. 4). Il en va de même d’une fissure à la jonction sus-épineux/sous-épineux, laquelle ne saurait être assimilée à une déchirure des tendons, même partielle (voir dans ce sens l’arrêt du Tribunal fédéral 8C_763/2015 du 11 juillet 2016 consid. 4.3).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(arrêts du Tribunal fédéral des assurances U 162/2006 du 10 avril 2004 consid. 4.2 ; U 220/02 du 6 août 2003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du Tribunal fédéral 8C_357/2007 du 31 janvier 2008 consid. 3.2).</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w:t>
      </w:r>
    </w:p>
    <w:p>
      <w:r>
        <w:t>A/2800/2017 - 11/17 - l'assuré à des prestations, l'administration ou le juge a besoin de documents que le médecin doit lui fournir (ATF 122 V 157 consid. 1b).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 ATF 123 V 175 consid. 3d ; ATF 125 V 351 consid. 3b ee ; ATF 135 V 465 consid. 4.4 ; arrêt du Tribunal fédéral 8C_588 /2015 du 17 décembre 2015 consid. 2).</w:t>
      </w:r>
    </w:p>
    <w:p>
      <w:r>
        <w:t>A/2800/2017 - 12/17 -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w:t>
      </w:r>
    </w:p>
    <w:p>
      <w:r>
        <w:rPr>
          <w:b/>
        </w:rPr>
        <w:t>E. 8</w:t>
      </w:r>
    </w:p>
    <w:p>
      <w:r>
        <w:t>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w:t>
      </w:r>
    </w:p>
    <w:p>
      <w:r>
        <w:t>A/2800/2017 - 13/17 -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 U 389/04 du 27 octobre 2005 consid. 4.1 et U 222/04 30 novembre 2004 consid. 1.3).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w:t>
      </w:r>
    </w:p>
    <w:p>
      <w:r>
        <w:rPr>
          <w:b/>
        </w:rPr>
        <w:t>E. 11</w:t>
      </w:r>
    </w:p>
    <w:p>
      <w:r>
        <w:t>juin 2013 ; ATAS/454/2013 du 2 mai 2013 ; ATAS/139/2013 du 6 février 2013). 9. En l’espèce, l’intimée a mis un terme aux prestations, avec effet au 31 octobre 2015, au motif que le statu quo aurait été atteint à cette date. a/aa. À titre liminaire, il convient de résumer la situation médicale. Le 15 septembre 2015, le recourant a chuté dans l’escalier de son club de sport et, en tentant de se rattraper à la main courante, il a ressenti une forte douleur à l’épaule et à la main gauches. L’arthro-IRM réalisée le 30 septembre 2015 a notamment décelé une petite fissuration interstitielle à la limite entre les tendons supra-épineux et infra-épineux. Dans le cadre d’un traitement expérimental, le recourant a bénéficié, les 6 octobre et 5 novembre 2015, d’une infiltration de PRP au niveau de la lésion fissuraire interstitielle du tendon supra-épineux. En raison de l’échec de ce traitement expérimental, le recourant a subi, le 3 octobre 2016, une arthroscopie au cours de laquelle le Dr D______ a procédé à une ténodèse du long chef du biceps, à une acromioplastie antérieure et latérale ainsi qu’à une résection du centimètre externe de la clavicule. Suite à cette intervention, le recourant a été incapable de travailler du 3 octobre au 3 novembre 2016. Compte tenu des constatations faites lors des arthro-IRM et de l’intervention du 3 octobre 2016, le Dr D______ a retenu les diagnostics de tendinopathie du sus-épineux,</w:t>
      </w:r>
    </w:p>
    <w:p>
      <w:r>
        <w:t>A/2800/2017 - 14/17 - tendinopathie sévère du long chef du biceps, de conflit sous-acromial et d’arthropathie acromio-claviculaire. Pour le Dr E______, médecin-conseil de l’intimée, toutes les atteintes dont souffre le recourant sont d’origine dégénérative, la lésion fissuraire ne pouvant au demeurant pas être qualifiée de déchirure – même partielle – d’un tendon. L’accident assuré a tout au plus entraîné une contusion, dont le délai de guérison est de six semaines au maximum (avis des 22 mai, 18 août et 15 décembre 2017). En revanche, pour le Dr D______, l’accident assuré a décompensé la maladie arthrosique de l’articulation acromio-claviculaire et causé une lésion du sus- épineux. S’agissant de l’intervention du 3 octobre 2016, la résection du centimètre externe était en lien avec la maladie arthrosique, d’origine dégénérative. Toutefois, ce geste ainsi que l’acromioplastie avaient été nécessaires afin de parfaire le résultat de la tendinopathie sévère du long chef du biceps (voir courrier du Dr D______ du</w:t>
      </w:r>
    </w:p>
    <w:p>
      <w:r>
        <w:rPr>
          <w:b/>
        </w:rPr>
        <w:t>E. 15</w:t>
      </w:r>
    </w:p>
    <w:p>
      <w:r>
        <w:t>mai 2017). Dans son courrier du 4 octobre 2017, le Dr D______ a encore précisé que la lésion interstitielle et l’atteinte du long chef du biceps pouvaient être attribuées, selon toute vraisemblance, à l’accident, au contraire de l’atteinte acromio-claviculaire, qui était vraisemblablement dégénérative. Pour le médecin traitant, il convenait ainsi de répartir les frais entre l’assurance-maladie et l’intimée. a/bb. Comme l’a relevé le Dr E______, la fissure à la jonction tendons supra- épineux et infra-épineux ne constitue pas une lésion corporelle assimilée à un accident (voir dans ce sens l’arrêt du Tribunal fédéral 8C_763/2015 du 11 juillet 2016 consid. 4.3). Au demeurant, le Dr D______ n’a à aucun moment prétendu le contraire. Quant au conflit sous-acromial et à l’arthropathie acromio-claviculaire, elles doivent à l’évidence être qualifiées d’atteintes dégénératives. Au demeurant, le Dr D______ ne prétend à nouveau pas le contraire. Cela étant, pour le Dr D______, l’accident assuré a entraîné la fissure du tendon sus-épineux et une atteinte au long chef du biceps ainsi qu’une décompensation de l’état antérieur. Or, conformément à la jurisprudence, lorsqu'un état maladif préexistant est aggravé ou, de manière générale, apparaît consécutivement à un accident et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b. Dès lors que seule la prise en charge de l’intervention du 3 octobre 2016 et de l’incapacité de travail y consécutive est litigieuse, les rapports médicaux au dossier doivent répondre aux questions suivantes :  s’agissant de la lésion fissuraire du tendon sus-épineux et de celle du long chef du biceps : l’accident assuré en est-il la cause à tout le moins partielle ? Dans</w:t>
      </w:r>
    </w:p>
    <w:p>
      <w:r>
        <w:t>A/2800/2017 - 15/17 - l’affirmative, un statu quo sine vel ante a-t-il été atteint et à quelle date ? Si en date du 3 octobre 2016, aucun statu quo n’a été atteint, l’arthroscopie avait-elle pour but de traiter la lésion fissuraire du tendon sus-épineux ?  s’agissant de la décompensation d’un état antérieur : l’accident assuré a-t-il décompensé un état antérieur et lequel ? Dans l’affirmative, à quelle date un statu quo a-t-il été atteint ? Si en date du 3 octobre 2016, aucun statu quo n’a été atteint, dans quelle mesure l’arthroscopie avait-elle pour but de traiter l'état maladif préexistant tel que causé ou aggravé par l'accident ? Il convient donc d’examiner si les appréciations des Drs E______ et D______ revêtent une pleine valeur probante et si elles répondent aux questions précitées. c. D’emblée, la chambre de céans constate qu’aucun des rapports au dossier ne répond à toutes les questions précitées, de sorte qu’ils sont tous lacunaires. En effet, le Dr E______ n’a, à aucun moment, examiné la question de la décompensation d’un état dégénératif antérieur, alors que cet aspect a été soulevé par le Dr D______. En réalité, le médecin-conseil de l’intimée s’est contenté d’examiner le lien de causalité en fonction de la notion prédominant en matière médicale, laquelle ne se recoupe pas avec celle du domaine juridique, où une causalité partielle suffit à fonder l'obligation de prester de l'assureur-accidents (arrêt du Tribunal fédéral des assurances U 177/02 du 15 juin 2004 consid. 5.2.1). Le Dr E______ n’a pas non plus expliqué les raisons pour lesquelles il estimait que la lésion fissuraire n’était pas d’origine traumatique, se contentant de faire des généralités en lien notamment avec l’âge du recourant. Les mêmes critiques peuvent être formulées à l’encontre des avis du Dr D______. Certes, c’est ce dernier qui a évoqué la question de la décompensation d’un état antérieur. Il n’a toutefois ni décrit ni motivé sa position. De plus, ses appréciations peuvent prêter à confusion, l’atteinte évoquée étant tantôt la lésion du sus-épineux, tantôt la tendinopathie du long chef du biceps. 10. En résumé, le dossier de l’intimée ne contient aucun rapport médical circonstancié et probant permettant de trancher la question du lien de causalité (décompensation et statu quo) entre les atteintes encore ressenties par le recourant et l’accident assuré. Dans ces circonstances, la chambre de céans n’est pas en mesure de se prononcer de manière définitive sur la nature des atteintes et l’existence d’un lien de causalité entre l’accident du 15 septembre 2015 et les troubles présentés par le recourant au-delà du 31 octobre 2015, singulièrement sur la date d’un éventuel retour à un statu quo. Force est ainsi de considérer que l’intimée a constaté les faits de manière sommaire, sur la base des rapports de son médecin-conseil, très peu motivés et ne disposant pas d’une valeur probante suffisante. Il n’appartient pas au juge de suppléer aux carences administratives, de sorte que le dossier sera renvoyé à l’intimée pour instruction complémentaire sous la forme d’une expertise, laquelle devra notamment répondre aux questions évoquées ci-dessus par la chambre de céans.</w:t>
      </w:r>
    </w:p>
    <w:p>
      <w:r>
        <w:t>A/2800/2017 - 16/17 - 11. Au vu de ce qui précède, le recours sera admis partiellement et la décision sur opposition du 22 mai 2017 sera annulée. La cause sera renvoyée à l’intimée pour instruction complémentaire sous la forme d’une expertise. Le recourant obtenant partiellement gain de cause, une indemnité de CHF 1'500.- lui sera accordée à titre de participation à ses frais et dépens (art. 61 let. g LPGA). Pour le surplus, la procédure est gratuite (art. 61 let. a LPGA). * * * * * *</w:t>
      </w:r>
    </w:p>
    <w:p>
      <w:r>
        <w:t>A/2800/2017 - 17/17 -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