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ATAS/586/2025 vom 13. August 2025</w:t>
      </w:r>
    </w:p>
    <w:p>
      <w:r>
        <w:t>GE Cour de justice, 2025-08-13, FR</w:t>
      </w:r>
    </w:p>
    <w:p>
      <w:r>
        <w:rPr>
          <w:b/>
        </w:rPr>
        <w:t xml:space="preserve">Quelle: </w:t>
      </w:r>
      <w:r>
        <w:t>https://mcp.opencaselaw.ch/entscheid/ge_gerichte_ATAS_586_2025</w:t>
      </w:r>
    </w:p>
    <w:p>
      <w:r>
        <w:t>FR: GE_GERICHTE ATAS/586/2025 du 13 août 2025</w:t>
      </w:r>
    </w:p>
    <w:p>
      <w:r>
        <w:t>IT: GE_GERICHTE ATAS/586/2025 del 13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A/1060/2024 - 10/16 -</w:t>
      </w:r>
    </w:p>
    <w:p>
      <w:r>
        <w:rPr>
          <w:b/>
        </w:rPr>
        <w:t>E. 2</w:t>
      </w:r>
    </w:p>
    <w:p>
      <w:r>
        <w:t>Le litige porte sur le droit du recourant à une rente entière dès le 1er juin 2022.</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le droit à la rente du recourant est né antérieurement au 1er janvier 2022, le 1er octobre 2021, et s’est éteint le 31 mai 2022. La question litigieuse est de savoir si un motif de révision est survenu, après le 1er janvier 2022, de sorte que les dispositions applicables seront citées dans leur nouvelle teneur.</w:t>
      </w:r>
    </w:p>
    <w:p>
      <w:r>
        <w:rPr>
          <w:b/>
        </w:rPr>
        <w:t>E. 4.1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l'article 17 LPGA. La rente peut être révisée non seulement en cas de modification sensible de l'état de santé, mais</w:t>
      </w:r>
    </w:p>
    <w:p>
      <w:r>
        <w:t>A/1060/2024 - 11/16 - aussi lorsque celui-ci est resté en soi le même, mais que ses conséquences sur la capacité de gain ont subi un changement important (ATF 130 V 343 consid. 3.5 ; 113 V 273 consid. 1a ; arrêt du Tribunal fédéral 9C_1006/2010 du 22 mars 2011 consid 2.2).</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A/1060/2024 - 12/16 -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t>A/1060/2024 - 13/16 -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A/1060/2024 - 14/16 -</w:t>
      </w:r>
    </w:p>
    <w:p>
      <w:r>
        <w:rPr>
          <w:b/>
        </w:rPr>
        <w:t>E. 5.1</w:t>
      </w:r>
    </w:p>
    <w:p>
      <w:r>
        <w:t>En l’espèce, l’intimé a rendu la décision litigieuse en se fondant sur un avis du SMR du 8 août 2023, qui retenait une capacité de travail du recourant de 100% dans une activité adaptée dès le 1er mars 2022, sur la base du certificat médical établi le 8 mars 2022 par le Dr D______. Celui-ci indiquait que le recourant avait été totalement incapable de travailler du 7 mars 2018 au 28 février 2022 et qu’il était totalement capable de travailler dès le 1er mars 2022 dans une activité sans gros efforts physiques, port de charges de plus de 20 kg, positions accroupies ni flexions répétées du tronc. Cette conclusion du SMR est critiquable, car il n’a pas tenu compte, sans motivation, des certificats postérieurs du Dr D______, des 10 juin et 18 juillet 2022, qui faisaient état d’une incapacité de travail totale du recourant dès le 9 juin 2022.</w:t>
      </w:r>
    </w:p>
    <w:p>
      <w:r>
        <w:rPr>
          <w:b/>
        </w:rPr>
        <w:t>E. 5.2</w:t>
      </w:r>
    </w:p>
    <w:p>
      <w:r>
        <w:t>Dans son rapport du 7 novembre 2023, le SMR a revu sa position, en admettant que les difficultés du recourant à rester assis plus de 30 minutes pouvaient entrainer des changements de position assis/debout plus fréquents. Il a retenu en conséquence une baisse de rendement de 20%, en lien avec les douleurs et le besoin de changer régulièrement de position assis/debout, soit une capacité de travail de 80% dans une activité adaptée dès le 1er mars 2022. Son appréciation de la perte de rendement n’est pas fondée sur un examen médical et elle est suffisamment remise ne cause par les rapports du Dr D______ pour justifier une instruction complémentaire.</w:t>
      </w:r>
    </w:p>
    <w:p>
      <w:r>
        <w:rPr>
          <w:b/>
        </w:rPr>
        <w:t>E. 5.3</w:t>
      </w:r>
    </w:p>
    <w:p>
      <w:r>
        <w:t>Par ailleurs, dans son avis du 29 avril 2024, sur lequel l’intimé a fondé sa réponse au recours, le SMR a admis la présence de nouveaux éléments médicaux, à savoir la présence de douleurs au niveau de la hanche gauche dès janvier 2024 dans le contexte d’une coxarthrose bilatérale marquée avec déformation de la tête fémorale, et indiqué qu’il n’était ainsi pas en mesure d’admettre une modification de ses conclusions du 7 novembre 2023, étant donné qu’en l’état actuel du dossier, il n’y avait pas de comparatif radiologique des hanches précédant le bilan du 13 janvier 2024 ni d’appréciation médicale des médecins des HUG, en particulier de la Dre G______, concernant l’atteinte au niveau des hanches du recourant. Dans ces circonstances, l’intimé devait compléter le dossier pour permettre au SMR de se prononcer, ce qu’il n’a pas fait. La question de savoir si l’état de santé du recourant s’est aggravé depuis janvier 2024 n’a pas ainsi pas suffisamment été instruite. Il se justifie en conséquence d’annuler la décision de l’intimé et de lui renvoyer la cause pour une instruction complémentaire par la mise en œuvre d’une expertise par un médecin indépendant selon la procédure de l'art. 44 LPGA.</w:t>
      </w:r>
    </w:p>
    <w:p>
      <w:r>
        <w:t>A/1060/2024 - 15/16 -</w:t>
      </w:r>
    </w:p>
    <w:p>
      <w:r>
        <w:rPr>
          <w:b/>
        </w:rPr>
        <w:t>E. 6</w:t>
      </w:r>
    </w:p>
    <w:p>
      <w:r>
        <w:t>Le recours doit être partiellement admis, la décision de l’intimé du 28 février 2024 annulée en tant qu’elle limite le droit du recourant à une rente d’invalidité entière au 31 mai 2022, la cause renvoyée à l’intimé pour instruction complémentaire et nouvelle décision sur son droit à une rente d’invalidité dès le 1er juin 2022 et la décision confirmée en tant qu’elle octroie au recourant une rente entière d’invalidité du 1er octobre 2021 au 31 mai 2022. Le recourant obtenant partiellement gain de cause et étant assisté d’un conseil, il a droit à des dépens qui seront fixés à CHF 2'500.- et mis à la charge de l’intimé (art. 61 let. g LPGA). Un émolument de CHF 200.- sera également mis à la charge de l’intimé (art. 69 al. 1bis LAI).</w:t>
      </w:r>
    </w:p>
    <w:p>
      <w:r>
        <w:t>A/1060/2024 - 16/16 -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