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ATAS/586/2023 vom 5. Juni 2023</w:t>
      </w:r>
    </w:p>
    <w:p>
      <w:r>
        <w:t>GE Cour de justice, 2023-06-05, FR</w:t>
      </w:r>
    </w:p>
    <w:p>
      <w:r>
        <w:rPr>
          <w:b/>
        </w:rPr>
        <w:t xml:space="preserve">Quelle: </w:t>
      </w:r>
      <w:r>
        <w:t>https://mcp.opencaselaw.ch/entscheid/ge_gerichte_ATAS_586_2023</w:t>
      </w:r>
    </w:p>
    <w:p>
      <w:r>
        <w:t>FR: GE_GERICHTE ATAS/586/2023 du 5 juin 2023</w:t>
      </w:r>
    </w:p>
    <w:p>
      <w:r>
        <w:t>IT: GE_GERICHTE ATAS/586/2023 del 5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prima facie recevable (art. 56 et 60 LPGA ; art. 89B de la loi sur la procédure administrative du 12 septembre 1985 [LPA - E 5 10]).</w:t>
      </w:r>
    </w:p>
    <w:p>
      <w:r>
        <w:t>A/2280/2023 - 3/7 -</w:t>
      </w:r>
    </w:p>
    <w:p>
      <w:r>
        <w:rPr>
          <w:b/>
        </w:rPr>
        <w:t>E. 2</w:t>
      </w:r>
    </w:p>
    <w:p>
      <w:r>
        <w:t>Le recourant, en sollicitant l’annulation de la décision litigieuse, a formé une demande de restitution de l’effet suspensif à son recours.</w:t>
      </w:r>
    </w:p>
    <w:p>
      <w:r>
        <w:rPr>
          <w:b/>
        </w:rPr>
        <w:t>E. 3.1</w:t>
      </w:r>
    </w:p>
    <w:p>
      <w:r>
        <w:t>À teneur de l’art. 49 al. 5 LPGA,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sur la procédure administrative du 20 décembre 1968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2ème phrase LPGA).</w:t>
      </w:r>
    </w:p>
    <w:p>
      <w:r>
        <w:t>A/2280/2023 - 4/7 -</w:t>
      </w:r>
    </w:p>
    <w:p>
      <w:r>
        <w:rPr>
          <w:b/>
        </w:rPr>
        <w:t>E. 3.2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w:t>
      </w:r>
    </w:p>
    <w:p>
      <w:r>
        <w:t>A/2280/2023 - 5/7 - initiée de façon abusive (ATF 129 V 370 consid. 4 ; voir également arrêts du Tribunal fédéral 9C_ 846/2018 du 29 novembre 2019 consid. 7.1 et 9C_207/2014 du 1er mai 2014 consid. 5.3).</w:t>
      </w:r>
    </w:p>
    <w:p>
      <w:r>
        <w:rPr>
          <w:b/>
        </w:rPr>
        <w:t>E. 4</w:t>
      </w:r>
    </w:p>
    <w:p>
      <w:r>
        <w:t>En l’espèce, l’OAI se fonde sur le rapport d’enquête effectué au domicile de la famille, en date du 20 février 2023, dont il ressort que l’assuré n’a pas besoin d’aide pour se vêtir et se dévêtir, ni pour se lever, s’asseoir, se coucher, ni pour manger, ni pour aller aux toilettes, mais en revanche pour se laver, se brosser les dents et prendre une douche ainsi que pour se déplacer à l’extérieur et entretenir des contacts sociaux. Selon le rapport médical du 26 novembre 2022 de la docteure C______, spécialiste FMH en pédiatrie et médecin traitant de l’assuré, ce dernier n’aurait plus besoin de l’aide d’un tiers pour accomplir les actes ordinaires de la vie, mais il ne serait pas autonome dans ses activités et aurait besoin d’une surveillance personnelle permanente. Le médecin précise encore que l’assuré souffre d’une gestion difficile de ses émotions avec crises importantes et d’un besoin d’être systématiquement recadré car il est facilement dispersé. Au vu des éléments qui ressortent du rapport d’enquête, il apparaît que l’autonomie de l’assuré s’est développée et que ce dernier n’a plus besoin d’aide que pour deux actes de la vie courante alors qu’à teneur du précédent rapport d’enquête, il avait besoin de l’aide d’autrui pour quatre actes ordinaires. Selon le médecin traitant, l’assuré n’a plus besoin d’un tiers pour accomplir les actes ordinaires de la vie tout en manquant d’autonomie dans ses activités et en ayant besoin d’une surveillance personnelle permanente. Les conclusions du médecin traitant sont ambiguës dès lors qu’il reconnaît que l’assuré n’a plus besoin d’aide tout en relevant qu’il manque d’autonomie dans ses activités et aurait besoin d’une surveillance personnelle permanente, alors même que ce dernier point n’est pas développé. Il est, certes, mentionné le besoin de systématiquement recadrer l’assuré, qui gère difficilement ses émotions et a des crises importantes, mais on ne saurait en déduire que cela implique le besoin d’une surveillance personnelle permanente. À l’appui de son recours, la représentante légale de l’assuré ne produit pas de rapport médical complémentaire pouvant confirmer ses allégations, si ce n’est une attestation de son ophtalmologue, qui ne se prononce pas sur l’objet du litige.</w:t>
      </w:r>
    </w:p>
    <w:p>
      <w:r>
        <w:rPr>
          <w:b/>
        </w:rPr>
        <w:t>E. 5</w:t>
      </w:r>
    </w:p>
    <w:p>
      <w:r>
        <w:t>Dans ces circonstances, les chances de succès du recourant sur le fond ne paraissent pas évidentes à première vue. Dès lors, l’intérêt de l’intimé à l’exécution immédiate de la décision faisant l’objet du recours l’emporte sur celui du recourant à ce que son allocation d’impotent ne soit pas diminuée. L’issue de la procédure étant incertaine, il existe un risque important qu’il ne puisse pas rembourser les prestations qui lui seraient versées à tort par l’intimé pendant la procédure.</w:t>
      </w:r>
    </w:p>
    <w:p>
      <w:r>
        <w:rPr>
          <w:b/>
        </w:rPr>
        <w:t>E. 6</w:t>
      </w:r>
    </w:p>
    <w:p>
      <w:r>
        <w:t>Partant, la chambre de céans n’a d’autre choix que de rejeter la demande de restitution de l’effet suspensif.</w:t>
      </w:r>
    </w:p>
    <w:p>
      <w:r>
        <w:t>A/2280/2023 - 6/7 -</w:t>
      </w:r>
    </w:p>
    <w:p>
      <w:r>
        <w:rPr>
          <w:b/>
        </w:rPr>
        <w:t>E. 7</w:t>
      </w:r>
    </w:p>
    <w:p>
      <w:r>
        <w:t>La suite de la procédure est réservée.</w:t>
      </w:r>
    </w:p>
    <w:p>
      <w:r>
        <w:t>A/2280/2023 - 7/7 - PAR CES MOTIFS, LA CHAMBRE DES ASSURANCES SOCIALES : Statuant selon l’art. 21 al. 2 LPA 1. Rejette la demande de restitution de l’effet suspensif. 2. Réserve la suite de la procédure.</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