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ATAS/586/2022 vom 23. Juni 2022</w:t>
      </w:r>
    </w:p>
    <w:p>
      <w:r>
        <w:t>GE Cour de justice, 2022-06-23, FR</w:t>
      </w:r>
    </w:p>
    <w:p>
      <w:r>
        <w:rPr>
          <w:b/>
        </w:rPr>
        <w:t xml:space="preserve">Quelle: </w:t>
      </w:r>
      <w:r>
        <w:t>https://mcp.opencaselaw.ch/entscheid/ge_gerichte_ATAS_586_2022</w:t>
      </w:r>
    </w:p>
    <w:p>
      <w:r>
        <w:t>FR: GE_GERICHTE ATAS/586/2022 du 23 juin 2022</w:t>
      </w:r>
    </w:p>
    <w:p>
      <w:r>
        <w:t>IT: GE_GERICHTE ATAS/586/2022 del 23 giugno 2022</w:t>
      </w:r>
    </w:p>
    <w:p>
      <w:pPr>
        <w:pStyle w:val="Heading2"/>
      </w:pPr>
      <w:r>
        <w:t>Erwägungen</w:t>
      </w:r>
    </w:p>
    <w:p>
      <w:r>
        <w:rPr>
          <w:b/>
        </w:rPr>
        <w:t>E. 1</w:t>
      </w:r>
    </w:p>
    <w:p>
      <w:r>
        <w:t>Les questions de la recevabilité du recours et de la compétence de la Cour de céans ayant d'ores et déjà été examinées dans l'ordonnance d'expertise du 27 mars 2018 (ATAS/268/2018), il n'y a pas lieu d'y revenir ici.</w:t>
      </w:r>
    </w:p>
    <w:p>
      <w:r>
        <w:rPr>
          <w:b/>
        </w:rPr>
        <w:t>E. 2</w:t>
      </w:r>
    </w:p>
    <w:p>
      <w:r>
        <w:t>À teneur de l'art. 1 al. 1 de la loi fédérale sur l’assurance-invalidité du 19 juin 1959 (LAI - RS 831.20), les dispositions de la loi fédérale sur la partie générale du droit des assurances sociales du 6 octobre 2000 (LPGA - RS 830.1) s'appliquent à l'assurance-invalidité,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w:t>
      </w:r>
    </w:p>
    <w:p>
      <w:r>
        <w:rPr>
          <w:b/>
        </w:rPr>
        <w:t>E. 4</w:t>
      </w:r>
    </w:p>
    <w:p>
      <w:r>
        <w:t>Le 1er janvier 2022, sont entrées en vigueur les modifications de la LAI du 19 juin 2020 (développement continu de l’AI ; RO 2021 705).</w:t>
      </w:r>
    </w:p>
    <w:p>
      <w:r>
        <w:rPr>
          <w:b/>
        </w:rPr>
        <w:t>E. 4.1</w:t>
      </w:r>
    </w:p>
    <w:p>
      <w:r>
        <w:t>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w:t>
      </w:r>
    </w:p>
    <w:p>
      <w:r>
        <w:rPr>
          <w:b/>
        </w:rPr>
        <w:t>E. 4.2</w:t>
      </w:r>
    </w:p>
    <w:p>
      <w:r>
        <w:t>En l’occurrence, la décision querellée (du 23 août 2016) a été rendue antérieurement au 1er janvier 2022, de sorte que les dispositions légales applicables seront citées dans leur ancienne teneur.</w:t>
      </w:r>
    </w:p>
    <w:p>
      <w:r>
        <w:rPr>
          <w:b/>
        </w:rPr>
        <w:t>E. 5</w:t>
      </w:r>
    </w:p>
    <w:p>
      <w:r>
        <w:t>Le litige porte sur le droit du recourant à une rente d'invalidité et à une mesure d'ordre professionnel.</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A/3229/2016 - 10/20 -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I.786/04 du 19 janvier 2006 consid. 3.1).</w:t>
      </w:r>
    </w:p>
    <w:p>
      <w:r>
        <w:rPr>
          <w:b/>
        </w:rPr>
        <w:t>E. 7.1</w:t>
      </w:r>
    </w:p>
    <w:p>
      <w:r>
        <w:t>Les atteintes à la santé pertinentes au sens de l'assurance-invalidité peuvent être des atteintes à la santé physique, mentale ou psychique, y compris psychosomatique. Cette dernière catégorie d'atteintes comporte les symptomatologies douloureuses sans substrat organique objectivable (autrement appelées « troubles somatoformes douloureux ») et d'autres affections psychosomatiques assimilées (cf. ATAS/1010/2016 du 6 décembre 2016 consid. 7b).</w:t>
      </w:r>
    </w:p>
    <w:p>
      <w:r>
        <w:rPr>
          <w:b/>
        </w:rPr>
        <w:t>E. 7.2</w:t>
      </w:r>
    </w:p>
    <w:p>
      <w:r>
        <w:t>Dans l’ATF 141 V 281 (du 3 juin 2015),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w:t>
      </w:r>
    </w:p>
    <w:p>
      <w:r>
        <w:t>A/3229/2016 - 11/20 -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ATAS/676/2019 du 26 juillet 2019 consid. 10a).</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w:t>
      </w:r>
    </w:p>
    <w:p>
      <w:r>
        <w:t>A/3229/2016 - 12/20 -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w:t>
      </w:r>
    </w:p>
    <w:p>
      <w:r>
        <w:t>A/3229/2016 - 13/20 -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il y a lieu de rappeler que, sur le plan rhumatologique, la Cour de céans ne peut tenir compte de l'aggravation des lombalgies qu'allègue le recourant dans ses écritures des 21 janvier 2020 et 3 mars 2021 qui serait survenue consécutivement aux infiltrations effectuées à la demande du Dr H______, le premier expert judiciaire, dans la mesure où il s'agit d'un fait nouveau postérieur à la décision litigieuse du 23 août 2016 (ATF 121 V 366 consid. 1b et les références).</w:t>
      </w:r>
    </w:p>
    <w:p>
      <w:r>
        <w:rPr>
          <w:b/>
        </w:rPr>
        <w:t>E. 10.1</w:t>
      </w:r>
    </w:p>
    <w:p>
      <w:r>
        <w:t>Sur le plan gastroentérologique, la Cour de céans a dû mettre en œuvre une expertise, après avoir constaté que le Dr F______, gastroentérologue traitant, distinguait ‒ sans se prononcer sur la capacité de travail du recourant ‒ le syndrome de l'intestin irritable (douleur fonctionnelle sans substrat organique) de la douleur élective au niveau de la fosse iliaque droite, dont se plaignait le recourant depuis 2012, qui pouvait, selon ce spécialiste, être liée à une douleur abdominale pariétale, notamment à une atteinte des nerfs cutanés abdominaux, soit une atteinte organique, en précisant que cette douleur handicapait le recourant</w:t>
      </w:r>
    </w:p>
    <w:p>
      <w:r>
        <w:t>A/3229/2016 - 14/20 - (rapport du 28 septembre 2016 ; procès-verbal d'enquêtes du 21 septembre 2017). Aussi, avant de pouvoir confirmer ou infirmer l'origine pariétale de la douleur abdominale, ne pouvait-on assimiler, comme le faisait valoir l'intimé, les troubles intestinaux du recourant à un trouble somatoforme douloureux. Cela étant, ni le Dr H______, mandaté par la Cour de céans, ni son confrère, le Dr I______ ‒ interrogé par celle-ci ‒ ne se sont déterminés de manière définitive sur les limitations fonctionnelles qu'induiraient les douleurs abdominales dans une activité adaptée et sur la capacité de travail résiduelle du recourant (rapports du Dr H______ des 17 août 2018, 30 octobre 2019 et 21 avril 2020 ; rapport du Dr I______ du 26 octobre 2020), le Dr H______ ayant du reste visiblement confondu son mandat d'expertise avec un mandat de thérapeute (courrier de la Cour de céans aux parties du 22 janvier 2020).</w:t>
      </w:r>
    </w:p>
    <w:p>
      <w:r>
        <w:rPr>
          <w:b/>
        </w:rPr>
        <w:t>E. 10.2</w:t>
      </w:r>
    </w:p>
    <w:p>
      <w:r>
        <w:t>La Cour de céans n'a alors eu d'autre choix que de confier l'expertise à un autre gastroentérologue, le Dr L______.</w:t>
      </w:r>
    </w:p>
    <w:p>
      <w:r>
        <w:rPr>
          <w:b/>
        </w:rPr>
        <w:t>E. 10.2.1</w:t>
      </w:r>
    </w:p>
    <w:p>
      <w:r>
        <w:t>Dans son rapport du 20 janvier 2022, cet expert pose, du point de vue de sa spécialité, les diagnostics de douleurs abdominales chroniques d'origine indéterminée et de côlon irritable (p. 4). Il explique que même s'il n'est pas exclu que le syndrome de côlon irritable soit dans certains cas associé à une cause organique, en l'occurrence, les diverses investigations médico-techniques effectuées n’ont pas pu démontrer l'origine organique de cette pathologie (p. 6-7). Il écarte le diagnostic de douleur abdominale pariétale au niveau de la fosse iliaque droite, au double motif que le test de Carnett, négatif à son examen, semble être inconstant (il a été positif lors de la consultation du Dr F______) et que les infiltrations ont été inefficaces, en précisant que la présence de ces signes cliniques (test de Carnett positif et infiltrations efficaces) évoque en principe l'origine pariétale des douleurs abdominales (p. 7, 15). Après avoir déconseillé des interventions invasives (telles une laparoscopie) qui pourraient aggraver la symptomatique douloureuse du recourant (p. 8, 13), il relève que, de toute manière, la question de savoir si les douleurs sont pariétales ou non est plutôt d'intérêt académique, puisque les douleurs abdominales sont incapacitantes à l'aune des indicateurs jurisprudentiels (ATF 141 V 281; p. 9, 16-18).</w:t>
      </w:r>
    </w:p>
    <w:p>
      <w:r>
        <w:rPr>
          <w:b/>
        </w:rPr>
        <w:t>E. 10.2.2</w:t>
      </w:r>
    </w:p>
    <w:p>
      <w:r>
        <w:t>Force est ainsi de conclure que le caractère ‒ cas échéant ‒ invalidant des douleurs abdominales du recourant sans substrat organique objectivable ne peut être examiné qu'à l'aide des indicateurs déterminants définis dans l'ATF 141 V 281 (consid. 7 ci-dessus). Cela étant, on ne peut suivre l'appréciation du Dr L______, selon laquelle les douleurs abdominales du recourant entraînent une limitation par rapport à la résistance, des troubles de concentration, une fatigabilité, et une certaine lenteur (p. 9, 11, 16), avec pour conséquence une capacité de travail de 50% dans une activité adaptée, depuis 2012, et une diminution de rendement de 30% environ en raison des troubles de concentration et de la lenteur (p. 12).</w:t>
      </w:r>
    </w:p>
    <w:p>
      <w:r>
        <w:t>A/3229/2016 - 15/20 - Comme le relève le SMR dans son avis du 7 février 2022, l'expert semble se fonder uniquement sur les déclarations du recourant pour retenir ces limitations fonctionnelles, dès lors que, dans le chapitre « statut clinique et constatations objectives », il ne fait pas état de ces restrictions (p. 4). Quoi qu'il en soit, contrairement aux dires de l'expert, ces limitations fonctionnelles ne sont pas présentes depuis 2012, puisque, lors de l'expertise psychiatrique du 12 mars 2016, le Dr E______, qui avait retenu un dysfonctionnement neurovégétatif somatoforme avec prédominance du système intestinal (F45.32) sans effet sur la capacité de travail (rapport de ce psychiatre du</w:t>
      </w:r>
    </w:p>
    <w:p>
      <w:r>
        <w:rPr>
          <w:b/>
        </w:rPr>
        <w:t>E. 10.2.3</w:t>
      </w:r>
    </w:p>
    <w:p>
      <w:r>
        <w:t>Aussi, par appréciation anticipée des preuves (ATF 122 II 464 consid. 4a), n'est-il point nécessaire d'entendre le Dr L______, comme le sollicite le recourant. 11. Reste à déterminer si le recourant a droit à une mesure d'ordre professionnel, sous la forme d'une orientation professionnelle ou d'un reclassement professionnel. 11.1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w:t>
      </w:r>
    </w:p>
    <w:p>
      <w:r>
        <w:t>A/3229/2016 - 16/20 -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Selon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L'octroi d'une orientation professionnelle suppose que l'assuré soit entravé, même de manière faible, dans sa recherche d'un emploi adéquat à la suite de problèmes de santé. Sont exclus les handicaps insignifiants qui n'ont pas pour effet de provoquer un empêchement sérieux et qui, par conséquent, ne justifient pas l'intervention de l'assurance-invalidité (arrêt du Tribunal fédéral 9C_534/2010 du 10 février 2011 consid. 3.2 et les références).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11.2 En l'occurrence, il convient de rappeler que, sur le plan somatique, le recourant est apte à exercer à plein temps une activité adaptée permettant l'alternance des positions assise et debout, sans port de charges supérieures à 7 kg, sans travail en porte-à-faux du tronc ou sur des engins vibrants, et évitant l'exposition aux allergènes connus (ATAS/859/2011 du 14 septembre 2011 consid. 7). Sur le plan psychiatrique, il ne présente pas de limitations fonctionnelles (ATAS/80/2018 du 31 janvier 2018 consid. 3). Le recourant peut donc effectuer des activités physiques ou manuelles simples (niveau de compétence 1) dans le secteur privé (rapport de réadaptation professionnelle du 13 janvier 2010; ATAS/859/2011 du 14 septembre 2011 consid. 8). Vu que le marché du travail offre un éventail suffisamment large d'activités légères, il y a lieu d'admettre qu'un nombre significatif sont adaptées</w:t>
      </w:r>
    </w:p>
    <w:p>
      <w:r>
        <w:t>A/3229/2016 - 17/20 - aux limitations du recourant et accessibles sans aucune formation particulière (arrêt du Tribunal fédéral 9C_279/2008 du 16 décembre 2008 consid. 4) si ce n'est une phase initiale d'adaptation et d'apprentissage (arrêt du Tribunal fédéral 8C_766/2017, 8C_773/2017 du 30 juillet 2018 consid. 8.6 et la référence). Il n'est pas irréaliste de retenir qu'il existe, parmi la large palette d'activités considérées, un emploi adapté à la situation du recourant sur un marché du travail équilibré. Cette notion est certes théorique et abstraite mais elle est inhérente au système et trouve son fondement à l'art. 16 LPGA (arrêt du Tribunal fédéral 8C_771/2011 du</w:t>
      </w:r>
    </w:p>
    <w:p>
      <w:r>
        <w:rPr>
          <w:b/>
        </w:rPr>
        <w:t>E. 12</w:t>
      </w:r>
    </w:p>
    <w:p>
      <w:r>
        <w:t>mars 2016, p. 23), n'avait mis en évidence ni ralentissement (p. 9, 13), ni difficultés de concentration, ni fatigue (p. 14). À l'inverse de ce que mentionne le Dr L______, les activités sociales du recourant ne sont pas non plus drastiquement réduites depuis au moins une bonne dizaine d'années (p. 11) ‒ puisque l’intéressé a déclaré au Dr E______ avoir gardé des contacts avec quelques connaissances (p. 7) ‒. Qui plus est, le recourant a continué à fréquenter les stades pour voir des matchs de football depuis son accident de voiture survenu en mai 2003 (rapport du Dr L______, p. 11 qui nie ce fait; rapport du Dr E______, p. 7, 15, qui indique en revanche que l'expertisé a du plaisir à accompagner son fils au football). Par conséquent, l'aggravation des limitations fonctionnelles du recourant, si tant est qu'elle soit établie sur la base de constatations objectives, ne peut être admise, au plus tôt, qu'au moment de l'expertise du Dr L______, après la décision dont est recours du 23 août 2016, car aucune pièce médicale postérieure au rapport d'expertise du Dr E______ du 12 mars 2016 ‒ dont la valeur probante a déjà été reconnue par la Cour de céans dans l'ordonnance d'expertise du 31 janvier 2018 (ATAS/80/2018 consid. 3) ‒ n'atteste d'une telle péjoration avant le prononcé de la décision litigieuse, date déterminante pour l'examen du cas (ATF 121 V 366 consid. 1b et les références). Dans ces circonstances, on ne peut que nier le caractère invalidant des douleurs abdominales du recourant.</w:t>
      </w:r>
    </w:p>
    <w:p>
      <w:r>
        <w:rPr>
          <w:b/>
        </w:rPr>
        <w:t>E. 12.1</w:t>
      </w:r>
    </w:p>
    <w:p>
      <w:r>
        <w:t>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w:t>
      </w:r>
    </w:p>
    <w:p>
      <w:r>
        <w:t>A/3229/2016 - 18/20 -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arrêt du Tribunal fédéral 8C_580/2019 du 6 avril 2020 consid. 5.1).</w:t>
      </w:r>
    </w:p>
    <w:p>
      <w:r>
        <w:rPr>
          <w:b/>
        </w:rPr>
        <w:t>E. 12.2</w:t>
      </w:r>
    </w:p>
    <w:p>
      <w:r>
        <w:t>En l'espèce, les frais de l’expertise judiciaire des Drs H______ et L______ seront laissés à la charge de l’État. 13. Le recourant réclame le remboursement des frais dont il allègue s'être acquitté à hauteur de 10% à la suite des factures que lui avait adressés le Dr H______, au total CHF 708.40 (écriture du 3 mars 2021). Cela étant, le recourant n'a pas produit les factures qui ont fait l'objet des décomptes de participations 2019 des 23 avril et 16 décembre 2019. Aussi la Cour de céans n'est-elle pas en mesure de saisir à quel examen particulier elles se rapportent (examen en lien avec l'expertise sollicitée ou examen thérapeutique). Le recourant n'a pas non plus produit les décomptes de participations relatifs aux factures du CHUV qu'il a versées au dossier. Il n'a donc pas établi avoir payé à son assureur-maladie la quote-part de 10% à la suite des factures que lui avait transmises le Dr H______. Dans ces circonstances, l'État ne saurait rembourser au recourant le montant de CHF 708.40.</w:t>
      </w:r>
    </w:p>
    <w:p>
      <w:r>
        <w:t>A/3229/2016 - 19/20 -</w:t>
      </w:r>
    </w:p>
    <w:p>
      <w:r>
        <w:t>14. Au vu de ce qui précède, le recours est rejeté. Le recourant, qui succombe, n'a pas droit à des dépens (art. 61 let. g LPGA a contrario). Au vu du sort du recours, il y a lieu de condamner le recourant au paiement d'un émolument, arrêté en l'espèce à CHF 200.- (art. 69 al.1bis LAI).</w:t>
      </w:r>
    </w:p>
    <w:p>
      <w:r>
        <w:t>A/3229/2016 - 20/20 - PAR CES MOTIFS, LA CHAMBRE DES ASSURANCES SOCIALES : Statuant À la forme :</w:t>
      </w:r>
    </w:p>
    <w:p>
      <w:r>
        <w:rPr>
          <w:b/>
        </w:rPr>
        <w:t>E. 15</w:t>
      </w:r>
    </w:p>
    <w:p>
      <w:r>
        <w:t>novembre 2012 consid. 4.2). Dans ces circonstances, l'octroi d'une mesure d'orientation professionnelle financée par l'assurance-invalidité apparaît superflue, lorsque comme en l'espèce le marché du travail offre un éventail suffisamment large d'activités légères, dont un nombre significatif sont, à l'évidence, adaptées aux limitations du recourant et accessibles sans aucune formation particulière. Il n'existe donc guère d'obstacles pour celui-ci à l'exercice d'un emploi adapté à son état de santé (arrêt du Tribunal fédéral 9C_534/2010 du 10 février 2011 consid. 4.3). Pour le même motif, le recourant n'a pas non plus droit à une mesure de reclassement. Les activités simples et répétitives qu'il est à même d'exercer ne nécessitent pas de formation (arrêt du Tribunal fédéral 9C_467/2012 du 25 février 2013 consid. 5.2; ATAS/596/2020 du 14 juillet 2020 consid. 16). 12. Reste encore à se prononcer sur les frais d'expertise.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