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ATAS/586/2018 vom 26. Juni 2018</w:t>
      </w:r>
    </w:p>
    <w:p>
      <w:r>
        <w:t>GE Cour de justice, 2018-06-26, FR</w:t>
      </w:r>
    </w:p>
    <w:p>
      <w:r>
        <w:rPr>
          <w:b/>
        </w:rPr>
        <w:t xml:space="preserve">Quelle: </w:t>
      </w:r>
      <w:r>
        <w:t>https://mcp.opencaselaw.ch/entscheid/ge_gerichte_ATAS_586_2018</w:t>
      </w:r>
    </w:p>
    <w:p>
      <w:r>
        <w:t>FR: GE_GERICHTE ATAS/586/2018 du 26 juin 2018</w:t>
      </w:r>
    </w:p>
    <w:p>
      <w:r>
        <w:t>IT: GE_GERICHTE ATAS/586/2018 del 26 giugno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transmis à la juridiction compétente, le recours est recevable (art. 56V al. 1 let. a ch. 8 LOJ et 60 LPGA).</w:t>
      </w:r>
    </w:p>
    <w:p>
      <w:r>
        <w:rPr>
          <w:b/>
        </w:rPr>
        <w:t>E. 3</w:t>
      </w:r>
    </w:p>
    <w:p>
      <w:r>
        <w:t>Le litige porte sur le bien-fondé et la durée de la sanction infligée à la recourante pour avoir fait défaut à un entretien de conseil.</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Selon l’art. 30 al. 3 LACI, la durée de la suspension est proportionnelle à la gravité de la faute. Ainsi, en cas de faute légère, la durée de la suspension est de un à quinze jours (a), en cas de faute de gravité moyenne, de seize à trente jours (b) et, en cas de faute grave, de trente et un à soixante jours (d ; cf. art. 45 al. 2 OACI). À cet égard, le Tribunal fédéral a jugé que lorsque l'assuré manque par erreur ou par inattention un entretien de conseil et de contrôle, mais prouve néanmoins, par son comportement en général, qu'il prend ses obligations de chômeur et de</w:t>
      </w:r>
    </w:p>
    <w:p>
      <w:r>
        <w:t>A/995/2018 - 5/6 -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w:t>
      </w:r>
    </w:p>
    <w:p>
      <w:r>
        <w:rPr>
          <w:b/>
        </w:rPr>
        <w:t>E. 7</w:t>
      </w:r>
    </w:p>
    <w:p>
      <w:r>
        <w:t>En l’espèce, la situation n’est pas analogue, puisque la recourante s’est déjà vu reprocher trois autres manquements. En l’occurrence, quoi que la recourante s’en défende, ses explications et son attitude dénotent une négligence certaine de sa part dans le respect des obligations qui lui incombent envers l’assurance-chômage. Son comportement ne saurait à l’évidence être qualifié d’irréprochable, si bien que la suspension du versement de son indemnité était justifiée. Quant à la quotité de la sanction infligée, elle n’est pas non plus sujette à critiques. La décision litigieuse est donc bien fondée et le recours rejeté.</w:t>
      </w:r>
    </w:p>
    <w:p>
      <w:r>
        <w:t>A/995/2018 - 6/6 -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