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ATAS/586/2016 vom 19. Juli 2016</w:t>
      </w:r>
    </w:p>
    <w:p>
      <w:r>
        <w:t>GE Cour de justice, 2016-07-19, FR</w:t>
      </w:r>
    </w:p>
    <w:p>
      <w:r>
        <w:rPr>
          <w:b/>
        </w:rPr>
        <w:t xml:space="preserve">Quelle: </w:t>
      </w:r>
      <w:r>
        <w:t>https://mcp.opencaselaw.ch/entscheid/ge_gerichte_ATAS_586_2016</w:t>
      </w:r>
    </w:p>
    <w:p>
      <w:r>
        <w:t>FR: GE_GERICHTE ATAS/586/2016 du 19 juillet 2016</w:t>
      </w:r>
    </w:p>
    <w:p>
      <w:r>
        <w:t>IT: GE_GERICHTE ATAS/586/2016 del 19 luglio 2016</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A/4375/2015 - 15/24 -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Déposé le 14 décembre 2015 contre une décision du 9 novembre 2015, le présent recours a été interjeté en temps utile (art. 60 al. 1 LPGA). Il contient un exposé des faits et des motifs invoqués, ainsi que les conclusions de la recourante, et satisfait ainsi aux exigences de forme et de contenu prévues par l’art. 61 let. b LPGA (cf. aussi art. 89B LPA). La recourante a qualité pour recourir contre la décision attaquée, en tant qu'elle lui refuse des prestations de l'AI auxquelles elle estime avoir droit, car elle est touchée par cette décision et a un intérêt digne de protection à son annulation ou modification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 112 V 360 consid. 4a ; RAMA 1998 KV 37 p. 316 consid. 3b]). Les faits pertinents dans la présente affaire se sont produits entre 2012 et 2015, soit sous l'empire de la LAI dans sa version actuelle (pour mémoire, les trois dernières révisions de la LAI, des 21 mars 2003 [4ème révision], 6 octobre 2006 [5ème révision] et 18 mars 2011 [révision dite 6a], sont entrées en vigueur respectivement les 1er janvier 2004, 1er janvier 2008 et 1er janvier 2012). Le droit éventuel aux prestations doit donc être examiné en l'espèce au regard du droit actuel (ATF 130 V 445 et les références; voir également ATF 130 V 329 ; à noter que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w:t>
      </w:r>
    </w:p>
    <w:p>
      <w:r>
        <w:t>A/4375/2015 - 16/24 - contenu, de sorte que la jurisprudence développée à leur propos peut être reprise et appliquée (ATF 130 V 343 consid. 3).</w:t>
      </w:r>
    </w:p>
    <w:p>
      <w:r>
        <w:rPr>
          <w:b/>
        </w:rPr>
        <w:t>E. 3</w:t>
      </w:r>
    </w:p>
    <w:p>
      <w:r>
        <w:t>Le litige porte sur le droit de la recourante à des prestations de l’assurance- invalidité, en particulier à une rente d’invalidité.</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b. En l’occurrence, il convient de déterminer si l’état de la recourante s’est modifié entre le 16 décembre 2008 (suppression du droit à la rente) et le 9 novembre 2015 (refus de la nouvelle demande de prestation), dans des proportions suffisantes pour lui donner le droit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A/4375/2015 - 17/24 -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A/4375/2015 - 18/24 -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A/4375/2015 - 19/24 -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Le juge des assurances sociales fonde sa décision, sauf dispositions contraires de la loi, sur les faits qui, faute d’être établis de manière irréfutable, apparaissent comme</w:t>
      </w:r>
    </w:p>
    <w:p>
      <w:r>
        <w:t>A/4375/2015 - 20/24 -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la recourante soutient être en incapacité totale de travailler dans son activité habituelle de vendeuse depuis janvier 2004 et subir une dégradation de son état de santé depuis 2012, ce qui l’empêche d’exercer la profession de secrétaire/réceptionniste pour laquelle elle avait reçu une formation prise en charge par l’intimée en 2008. Son état de santé et les limitations fonctionnelles en découlant justifiaient l’octroi d’une demi-rente d’invalidité, au moins. Pour parvenir à cette conclusion, elle se fonde sur les rapports de ses médecins traitants, soit les Drs F______, G______, H______, I______, C______ et Q______. Elle conteste également la valeur probante de l’expertise des Drs M______, N______ et O______, la considérant comme subjective et incohérente. Pour sa part, l’intimé considère que l’état de santé de la recourante ne s’est pas modifié d’une manière suffisante pour justifier l’octroi d’une rente. Selon lui, elle présente une incapacité totale de travail dans son activité habituelle de vendeuse, mais une capacité de travail de 100%, sans diminution de rendement, dans l’activité adaptée de secrétaire/réceptionniste, tout comme en 2008, lorsqu’il avait mis fin au versement de la rente d’invalidité. Il fonde ses conclusions sur l’expertise des M______, N______ et O______, à laquelle il reconnaît une pleine valeur probante, et les avis du SMR, qui valident ladite expertise. b. À titre liminaire, il convient de relever que l’incapacité de travail dans l’activité habituelle de vendeuse n’est pas litigieuse, les parties et les différents médecins consultés la considérant comme nulle depuis 2004. Seul demeure litigieux le point de savoir si, entre 2008 et 2015, la recourante a vu son état de santé se dégrader suffisamment pour justifier l’octroi d’une rente, soit en d’autres termes si elle présente encore ou non une capacité de travail de 100%, sans diminution de rendement, dans l’activité adaptée de secrétaire/réceptionniste (degré d’invalidité de 20% en 2008). c. S’agissant de l’expertise des Drs M______, N______ et O______, ces derniers ont retenu les diagnostics de fracture plurifragmentaire du fémur droit, de status post-prothèse totale de hanche du 7 mars 2006, de dégénérescence protrusive des disques intervertébraux L4 à L5 et L5 à S1, de discarthrose C3 à C4 et C5 à C6 et de troubles de l’adaptation, réaction dépressive prolongée. La recourante présentait des limitations fonctionnelles, soit l’impossibilité de maintenir la station debout prolongée et la nécessité d’éviter les ports de charges lourdes ou très lourdes, en raison de la fracture plurifragmentaire du col fémoral. Sa capacité de</w:t>
      </w:r>
    </w:p>
    <w:p>
      <w:r>
        <w:t>A/4375/2015 - 21/24 - travail était de 100%, sans diminution de rendement dans l’activité adaptée de secrétaire-téléphoniste-réceptionniste au jour de l’expertise, soit le 20 janvier 2015, depuis la demande de prestation fin 2012. En l’occurrence, la longueur de cette expertise, les nombreuses redondances qu’elle contient et le choix d’appliquer la méthodologie choisie par la clinique Corela, en particuliers les diagnostics différenciés, rendent la lecture de ce document peu aisée, ce qui est regrettable. Toutefois, cela n’est pas suffisant pour lui nier sa force probante. En effet, sur le fond, force est de constater qu’en l’occurrence, ladite expertise répond aux réquisits jurisprudentiels relatifs à la valeur probante. En effet, elle se fonde sur un examen somatique conduit par la Dresse M______, un examen psychiatrique réalisé par le Dr N______, un avis de médecine générale du Dr O______ et une étude approfondie du dossier de la recourante. Elle tient compte des plaintes exprimées par la recourante et contient une anamnèse très détaillée, sur tous les plans. Les diagnostics retenus, ou non, sont clairs et discutés en détail et les conclusions sont motivées à satisfaction. Dans le cadre de leur analyse du cas, les experts ont pris le soin d’expliquer les éléments les ayant conduits à retenir les différents diagnostics et à en écarter d’autres. Ils ont également expliqué pourquoi certains diagnostics retenus par les médecins traitants de la recourante devaient être écartés, étant précisé que ces explications étaient convaincantes et bien motivées. Leurs appréciations permettent de comprendre les troubles affectant la recourante et leurs conséquences sur sa capacité de travail. La recourante reproche à cette expertise d’être subjective et incohérente. En réalité, l’intéressée se contente de marquer sa désapprobation avec les conclusions de l’expertise et de lui préférer celles de ses médecins traitants, ce qui ne saurait être suffisant pour remettre en cause une expertise administrative. En outre, contrairement à ce que soutient la recourante, il n’est pas contradictoire de retenir des diagnostics ayant un effet sur la capacité de travail, ou des limitations fonctionnelles, et de conclure à une pleine capacité de travail dans une activité adaptée. En effet, il existe un grand nombre d’activités professionnelles, lesquelles n’ont pas toutes les mêmes exigences du point de vue physique ou psychique. Ainsi, les exigences d’un poste de vendeuse dans un grand magasin seront différentes de celles attendues d’une secrétaire ou d’une réceptionniste. S’agissant des rapports des Drs F______, G______, H______, I______, C______ et Q______, il convient en premier lieu de relever qu’ils ont été établis dans le cadre du mandat thérapeutique qui lie ces médecins à la recourante, éléments dont il faut tenir compte dans le cadre de l’appréciation de leur valeur probante. En second lieu, les experts ont précisément expliqué pour quelles raisons certains des diagnostics retenus par ces médecins devaient être écartés, de sorte que les rapports de ces derniers ont été pris en compte dans le cadre de l’expertise. Les rapports des 16 janvier 2013 et 21 août 2015 du Dr F______ contiennent de nombreux diagnostics et des limitations fonctionnelles particulièrement restrictives, sans que ce médecin ne motive ses conclusions. De plus, les limitations</w:t>
      </w:r>
    </w:p>
    <w:p>
      <w:r>
        <w:t>A/4375/2015 - 22/24 - fonctionnelles retenues fluctuent entre le premier et le second rapport, sans que rien ne permette de comprendre les raisons de ces changements. Dès lors, l’appréciation du Dr F______ ne saurait remettre en cause les conclusions de l’expertise. Le rapport du 20 janvier 2013 du Dr G______ est relativement bref. En outre, ses conclusions ne sont pas suffisamment motivées, de sorte qu’elles ne permettent pas de modifier l’appréciation de la chambre de céans sur la valeur probante de l’expertise. Quant au Dr H______, il ne prend pas position sur la capacité de travail dans son rapport du 3 février 2013, suggérant la nécessité de mettre en œuvre une expertise. Dans son rapport du 23 septembre 2015, il relève que l’état de santé de la recourante n’a pas évolué depuis 2012, ce qui va dans le sens des conclusions de l’expertise. Toutefois, il retient une capacité de travail dans une activité adaptée de 50%, sans le motiver. Ces rapports ne permettent donc pas de remettre en question les conclusions de l’expertise. Le rapport du 26 février 2013 du Dr C______ est particulièrement bref et peu motivé. De plus, il contient une contradiction manifeste, puisque ce médecin considère que la recourante ne présente aucune restriction physique, mentale ou psychique, tout en retenant des limitations fonctionnelles et une incapacité de travail totale depuis 2004, ce qui est manifestement contraire à la réalité, dans la mesure où la recourante avait pu bénéficier d’une formation professionnelle en 2008 et travailler par la suite, sans que sa santé ne l’en empêche. Le rapport du 25 mars 2013 de la Dresse I______ laisse transparaître une analyse centrée sur les plaintes de la recourante et sur les facteurs psychosociaux qui, à la lumière de l’expertise de la clinique Corela, semblent entraver la recourante. Faute d’une objectivité suffisante, ledit rapport ne permet pas à la chambre de céans de revoir sa position quant à l’expertise. Enfin, en ce qui concerne le rapport du 30 juillet 2015 de la Dresse Q______, force est de constater que les diagnostics retenus ne sont pas clairs et l’état de santé décrit est principalement fondé sur le contexte de la demande de prestation de la recourante et ses plaintes. Ainsi, les conclusions de la Dresse Q______ ne sauraient être préférées à celles des Drs M______, N______ et O______. d. Dans la mesure où les avis du SMR des 16 juin et 30 octobre 2015 valident les conclusions de l’expertise, il convient de suivre les recommandations qu’ils contiennent, en particulier en ce qui concerne la limitation fonctionnelle de port de charges plus favorable à la recourante que celle de l’expertise. Compte tenu de ces éléments, il convient de suivre les conclusions de l’expertise des Drs M______, N______ et O______ et les avis du SMR des 16 juin et 30 octobre 2015, et d’admettre que la recourante présente une pleine capacité de travail, sans diminution de rendement, dans l’activité adaptée à ses limitations fonctionnelles de secrétaire/réceptionniste, de sorte qu’entre 2008 et 2015, son état de santé, ou du moins l’influence de ce dernier sur sa capacité de travail, est resté</w:t>
      </w:r>
    </w:p>
    <w:p>
      <w:r>
        <w:t>A/4375/2015 - 23/24 - stable. C’est par conséquent à juste titre que l’intimé a rejeté la demande de prestations de la recourante. e. On précisera encore que dans la mesure où les mesures professionnelles mises en œuvre par l’intimé en 2008 ont permis à la recourante de se former dans une activité toujours adaptée à ses limitations fonctionnelles, aucune autre mesure ne se justifie, faute d’évolution de la situation.</w:t>
      </w:r>
    </w:p>
    <w:p>
      <w:r>
        <w:rPr>
          <w:b/>
        </w:rPr>
        <w:t>E. 10</w:t>
      </w:r>
    </w:p>
    <w:p>
      <w:r>
        <w:t>Au vu de ce qui précède, le recours sera rejeté. 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 * * * * * *</w:t>
      </w:r>
    </w:p>
    <w:p>
      <w:r>
        <w:t>A/4375/2015 - 24/24 -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