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ATAS/586/2015 vom 18. August 2015</w:t>
      </w:r>
    </w:p>
    <w:p>
      <w:r>
        <w:t>GE Cour de justice, 2015-08-18, FR</w:t>
      </w:r>
    </w:p>
    <w:p>
      <w:r>
        <w:rPr>
          <w:b/>
        </w:rPr>
        <w:t xml:space="preserve">Quelle: </w:t>
      </w:r>
      <w:r>
        <w:t>https://mcp.opencaselaw.ch/entscheid/ge_gerichte_ATAS_586_2015</w:t>
      </w:r>
    </w:p>
    <w:p>
      <w:r>
        <w:t>FR: GE_GERICHTE ATAS/586/2015 du 18 août 2015</w:t>
      </w:r>
    </w:p>
    <w:p>
      <w:r>
        <w:t>IT: GE_GERICHTE ATAS/586/2015 del 18 agosto 2015</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t>- 11/15-</w:t>
      </w:r>
    </w:p>
    <w:p>
      <w:r>
        <w:t>A/3708/2014</w:t>
      </w:r>
    </w:p>
    <w:p>
      <w:r>
        <w:rPr>
          <w:b/>
        </w:rPr>
        <w:t>E. 2</w:t>
      </w:r>
    </w:p>
    <w:p>
      <w:r>
        <w:t>Les diminutions de la capacité de gain que l’assuré pourrait empêcher en faisant preuve de bonne volonté ne sont pas considérées comme des conséquences d’un état psychique maladif et donc pas comme des affections à prendre en charge par l’assurance-invalidité (art. 7 al. 2 2ème phrase LPGA ; arrêt du Tribunal fédéral 9C_492/2014 du 3 juin 2015 consid. 3.7.1). L’atteinte à la santé doit faire l’objet d’un diagnostic indiscutable, établi par un médecin spécialiste de la discipline concernée (arrêt du Tribunal fédéral op.cit. consid. 2.1 et 2.1.1 ; ATF 130 V 396 consid. 5.3 et 6).</w:t>
      </w:r>
    </w:p>
    <w:p>
      <w:r>
        <w:rPr>
          <w:b/>
        </w:rPr>
        <w:t>E. 3</w:t>
      </w:r>
    </w:p>
    <w:p>
      <w:r>
        <w:t>Dans son arrêt 9C_942/2014,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4</w:t>
      </w:r>
    </w:p>
    <w:p>
      <w:r>
        <w:t>Dans la catégorie "degré de gravité fonctionnel", notre Haute Cour distingue entre le complexe "atteinte à la santé" avec trois sous-catégories, le complexe "personnalité" et le complexe "environnement social". a. En premier lieu, il convient de prêter d’avantage l'attention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w:t>
      </w:r>
    </w:p>
    <w:p>
      <w:r>
        <w:t>- 12/15-</w:t>
      </w:r>
    </w:p>
    <w:p>
      <w:r>
        <w:t>A/3708/2014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 A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5</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w:t>
      </w:r>
    </w:p>
    <w:p>
      <w:r>
        <w:t>- 13/15-</w:t>
      </w:r>
    </w:p>
    <w:p>
      <w:r>
        <w:t>A/3708/2014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doit être attribuée à une incapacité de l’assuré de reconnaître sa maladie. Le comportement de la personne assurée dans le cadre de la réadaptation professionnelle, notamment ses propres efforts de réadaptation, doivent également être pris en compte.</w:t>
      </w:r>
    </w:p>
    <w:p>
      <w:r>
        <w:rPr>
          <w:b/>
        </w:rPr>
        <w:t>E. 6</w:t>
      </w:r>
    </w:p>
    <w:p>
      <w:r>
        <w:t>En l’occurrence, le recourant a fait l’objet d’une expertise multidisciplinaire par le CEMed. Au vu des plaintes rapportées sur le plan psychiatrique dans cette expertise et la parésie inexpliquée de la main droite, pour laquelle le recourant a demandé depuis 2007 de multiples examens médicaux, la chambre de céans n’est pas totalement convaincue par le diagnostic de dysthymie retenu, d’autant moins que ce diagnostic est contesté par le Dr K______, alors qu'aucune aggravation des troubles psychiques n'est alléguée depuis l'expertise du CEMed. À cela s’ajoute que la jurisprudence du Tribunal fédéral concernant l’évaluation de la capacité de travail consécutive à un trouble somatoforme a changé. Dans ces conditions, la chambre de céans estime nécessaire de soumettre le recourant à une expertise psychiatrique judiciaire.</w:t>
      </w:r>
    </w:p>
    <w:p>
      <w:r>
        <w:rPr>
          <w:b/>
        </w:rPr>
        <w:t>E. 7</w:t>
      </w:r>
    </w:p>
    <w:p>
      <w:r>
        <w:t>Celle-ci sera confiée au Dr N______.</w:t>
      </w:r>
    </w:p>
    <w:p>
      <w:r>
        <w:rPr>
          <w:b/>
        </w:rPr>
        <w:t>E. 8</w:t>
      </w:r>
    </w:p>
    <w:p>
      <w:r>
        <w:t>Comment vous déterminez-vous sur l’expertise du CEMed, notamment sur le volet psychiatrique ?</w:t>
      </w:r>
    </w:p>
    <w:p>
      <w:r>
        <w:rPr>
          <w:b/>
        </w:rPr>
        <w:t>E. 9</w:t>
      </w:r>
    </w:p>
    <w:p>
      <w:r>
        <w:t>Comment vous déterminez-vous sur le rapport médical du Dr K______ du 29 avril 2015 ?</w:t>
      </w:r>
    </w:p>
    <w:p>
      <w:r>
        <w:rPr>
          <w:b/>
        </w:rPr>
        <w:t>E. 10</w:t>
      </w:r>
    </w:p>
    <w:p>
      <w:r>
        <w:t>Quel est le traitement actuel de Monsieur A______ ?</w:t>
      </w:r>
    </w:p>
    <w:p>
      <w:r>
        <w:rPr>
          <w:b/>
        </w:rPr>
        <w:t>E. 11</w:t>
      </w:r>
    </w:p>
    <w:p>
      <w:r>
        <w:t>Quelle est sa compliance ?</w:t>
      </w:r>
    </w:p>
    <w:p>
      <w:r>
        <w:rPr>
          <w:b/>
        </w:rPr>
        <w:t>E. 12</w:t>
      </w:r>
    </w:p>
    <w:p>
      <w:r>
        <w:t>Quel traitement et aides à l'insertion professionnelle préconiseriez- vous ?</w:t>
      </w:r>
    </w:p>
    <w:p>
      <w:r>
        <w:rPr>
          <w:b/>
        </w:rPr>
        <w:t>E. 13</w:t>
      </w:r>
    </w:p>
    <w:p>
      <w:r>
        <w:t>Quel est votre pronostic ? D. Invite le Dr N______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