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ATAS/586/2013 vom 11. Juni 2013</w:t>
      </w:r>
    </w:p>
    <w:p>
      <w:r>
        <w:t>GE Cour de justice, 2013-06-11, FR</w:t>
      </w:r>
    </w:p>
    <w:p>
      <w:r>
        <w:rPr>
          <w:b/>
        </w:rPr>
        <w:t xml:space="preserve">Quelle: </w:t>
      </w:r>
      <w:r>
        <w:t>https://mcp.opencaselaw.ch/entscheid/ge_gerichte_ATAS_586_2013</w:t>
      </w:r>
    </w:p>
    <w:p>
      <w:r>
        <w:t>FR: GE_GERICHTE ATAS/586/2013 du 11 juin 2013</w:t>
      </w:r>
    </w:p>
    <w:p>
      <w:r>
        <w:t>IT: GE_GERICHTE ATAS/586/2013 del 11 giugno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et s'applique à la décision de restitution du 21 juin 2011.</w:t>
      </w:r>
    </w:p>
    <w:p>
      <w:r>
        <w:rPr>
          <w:b/>
        </w:rPr>
        <w:t>E. 3</w:t>
      </w:r>
    </w:p>
    <w:p>
      <w:r>
        <w:t>Interjeté dans les forme et délai prévus par la loi, le recours est recevable (art. 56 ss LPGA).</w:t>
      </w:r>
    </w:p>
    <w:p>
      <w:r>
        <w:rPr>
          <w:b/>
        </w:rPr>
        <w:t>E. 4</w:t>
      </w:r>
    </w:p>
    <w:p>
      <w:r>
        <w:t>a) 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w:t>
      </w:r>
    </w:p>
    <w:p>
      <w:r>
        <w:t>A/1360/2012 - 8/16 -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 b) 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 Tout juge assesseur doit donc, pour être éligible, avoir l'exercice des droits politiques dans le canton de Genève (art. 5 al. 1 let. b LOJ) et être domicilié dans le canton de Genève (art. 5 al. 1 let. c LOJ). Lors de l’adoption de la LOJ, le 26 septembre 2010, le législateur a prévu que les magistrats déjà en fonction au moment de l’entrée en vigueur de la loi et ne remplissant pas la condition exigée par l’art. 5 al. 1 let. c LOJ n’y étaient pas soumis (art. 144 al. 8 LOJ). c) En l'espèce, Monsieur D__________ ne remplissait plus la condition d’éligibilité prévue à l’art. 5 al. 1 let. b LOJ depuis le 30 novembre 2010. Domicilié dans le canton de Vaud, il n’avait en effet pas l’exercice des droits politiques à Genève (art. 39 al. 2 et 3 Cst. et art. 1 let a de la loi sur l’exercice des droits politiques du 15 octobre 1982 - LEDP - A 5 05). L'exception à l'exigence du domicile à Genève prévue par l'art. 144 al. 8 LOJ est seulement applicable aux assesseurs déjà domiciliés en France au 31 décembre 2010, mais ayant l'exercice des droits politiques à Genève. Ainsi, après sa démission, Monsieur D__________ a été remplacé par F__________ qui a participé à la délibération du 11 juin 2013. La chambre des assurances sociales de la Cour de justice a ainsi siégé dans une composition conforme à la loi et, partant, régulière.</w:t>
      </w:r>
    </w:p>
    <w:p>
      <w:r>
        <w:rPr>
          <w:b/>
        </w:rPr>
        <w:t>E. 5</w:t>
      </w:r>
    </w:p>
    <w:p>
      <w:r>
        <w:t>Le litige concerne le droit du SPC de réclamer à l'assurée la restitution des prestations versées du 1er février 2006 au 31 janvier 2011 par décision du 25 janvier 2012, confirmée le 13 avril 2012, et singulièrement sur la fortune effective de l'assurée et le respect du délai de péremption de l'art 25 al. 2 LPGA.</w:t>
      </w:r>
    </w:p>
    <w:p>
      <w:r>
        <w:t>A/1360/2012 - 9/16 -</w:t>
      </w:r>
    </w:p>
    <w:p>
      <w:r>
        <w:rPr>
          <w:b/>
        </w:rPr>
        <w:t>E. 6</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b) Sur la question du délai de péremption, la réglementation prévue par l’art. 25 al. 2 1ère phrase LPGA reprend, matériellement, le contenu des anciens art. 95 al. 4 1ère phrase LACI et 47 al. 2 1ère phrase LAVS notamment, en vigueur jusqu’au 31 décembre 2002.</w:t>
      </w:r>
    </w:p>
    <w:p>
      <w:r>
        <w:t>A/1360/2012 - 10/16 -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Ainsi, "avoir connaissance" se rapporte au moment où l'on aurait dû, en faisant preuve de l'attention exigible et compte tenu des circonstances, constater le fait ouvrant droit à la réparation (RCC 1983 p. 108). c)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 d)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w:t>
      </w:r>
    </w:p>
    <w:p>
      <w:r>
        <w:rPr>
          <w:b/>
        </w:rPr>
        <w:t>E. 7</w:t>
      </w:r>
    </w:p>
    <w:p>
      <w:r>
        <w:t>a)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sont applicables. Pour que le délai de prescription plus long prévu par le droit pénal s'applique, il n'est pas nécessaire que l'auteur de l'infraction ait été condamné (cf. ATF 118 V 193 consid. 4a; 113 V 256 consid. 4a; voir également ATF 122 III 225 consid. 4).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ATFA non publié U 85/00 du 15 décembre 2000, consid. 1a). Les exigences constitutionnelles en matière</w:t>
      </w:r>
    </w:p>
    <w:p>
      <w:r>
        <w:t>A/1360/2012 - 11/16 -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1re phrase, LPGA (ATF 138 V 74 consid. 7). b) L'art. 31 al. 1 let. a et d LPC, également applicable en matière de prestations complémentaires cantonales (art. 1A LPCC), prévoit qu'est puni, à moins qu’il ne s’agisse d’un crime ou d’un délit frappé d’une peine plus élevée par le code pénal, d'une peine pécuniaire n'excédant pas 180 jours-amendes celui qui, par des indications fausses ou incomplètes, ou de toute autre manière, obtient d’un canton ou d’une institution d’utilité publique, pour lui-même ou pour autrui, l’octroi indu d’une prestation au sens de la présente loi (let. a); et celui qui manque à son obligation de communiquer au sens de l'art. 31 LPGA (let. d). Cet alinéa est entré en vigueur le 1er janvier 2008. L'art. 146 al. 1 CP (escroquerie) prévoit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c)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(cf. ATF 132 III 661 consid. 4.3 ; 126 II 145 consid. 4 b/aa). Le délai de prescription de l'action pénale pour une infraction telle que décrite à l'art. 146 al. 1 CP était de dix ans jusqu'au 30 septembre 2002, et de quinze ans dès le 1er octobre 2002.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(cf. art. 389 al. 1 CP; ATF 134 IV 82 consid. 6.2.1; 129 IV 49 consid. 5.1). S'agissant enfin de l'infraction à l'art. 31 LPC, en vigueur dès le 1er janvier 2008, le délai de prescription est de sept ans.</w:t>
      </w:r>
    </w:p>
    <w:p>
      <w:r>
        <w:t>A/1360/2012 - 12/16 -</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9</w:t>
      </w:r>
    </w:p>
    <w:p>
      <w:r>
        <w:t>En l’espèce, la demande de restitution porte sur une période de 6 ans, le SPC estimant que le comportement de l'assurée constitue une infraction pénale. Or, le Ministère Public a rendu une ordonnance de non-entrée en matière jugeant que les éléments constitutifs des infractions visées par l'art. 146 CP et 31 LPC n'étaient manifestement pas réunis. Le SPC ne prétend plus que l'assurée aurait commis une escroquerie mais maintient qu'elle s'est rendue coupable d'un manquement à son obligation de renseigner, mais il n'a pas contesté la décision du Ministère Public. Outre le fait que le juge administratif ne s'écarte pas de l'appréciation des autorités judiciaires de poursuite pénale sans motif valable, il s'avère en effet que les éléments constitutifs de l'infraction ne sont pas réalisés. Le devoir d'information rappelé chaque année à l'assurée porte sur la modification des éléments de sa fortune ou de ses revenus – qui n'ont pas évolué à défaut de partage de la succession, le montant dû étant bloqué en mains du notaire. Or, d'une part, l'assurée n'avait ni la conscience ni la volonté de faillir à son devoir de renseignements. D'autre part, elle n'a commis aucune négligence coupable, compte tenu de sa situation personnelle et de sa compréhension des choses - qui ressort clairement de son audition et de ses multiples actions judiciaires réelles ou supposées. Ainsi, la demande de restitution est limitée à la période de 5 ans de l'art. 25 al. 1 LPGA, soit du 1er février 2007 au 31 janvier 2012.</w:t>
      </w:r>
    </w:p>
    <w:p>
      <w:r>
        <w:rPr>
          <w:b/>
        </w:rPr>
        <w:t>E. 10</w:t>
      </w:r>
    </w:p>
    <w:p>
      <w:r>
        <w:t>a) S’agissant de savoir à compter de quand doit être prise en compte la modification de fortune de la recourante, il convient de rappeler qu’en cas de changements dans la fortune ou les revenus déterminants, la prestation complémentaire annuelle doit</w:t>
      </w:r>
    </w:p>
    <w:p>
      <w:r>
        <w:t>A/1360/2012 - 13/16 - être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 AVS/AI). La nouvelle décision doit porter effet dès le début du mois au cours duquel le changement a été annoncé, mais au plus tôt à partir du mois dans lequel celui-ci est survenu (art. 25 al. 2 let. b OPC-AVS/AI). A la suite d'une diminution de fortune, un nouveau calcul de la prestation complémentaire annuelle ne peut être effectué qu'une fois par an (art. 25 al. 3 OPC-AVS/AI). b) Selon la jurisprudence constante du Tribunal fédéral,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 ATFA non publié P 22/06 du 23 janvier 2007, consid. 5; ATFA non publié P 61/04 du 23 mars 2006, consid. 4; ATFA non publié P 54/02 du 17 septembre 2003, consid. 3.3). c) En l'espèce, il n'est donc pas déterminant que l'assurée n'ait pas encore perçu sa part d'héritage, qui reste bloquée en main du notaire et c'est bien à la date de la succession, soit dès le 11 février 2006, que le montant échu à l'assurée doit être intégré à sa fortune.</w:t>
      </w:r>
    </w:p>
    <w:p>
      <w:r>
        <w:rPr>
          <w:b/>
        </w:rPr>
        <w:t>E. 11</w:t>
      </w:r>
    </w:p>
    <w:p>
      <w:r>
        <w:t>a) Reste à examiner le montant de la fortune à prendre en compte suite à cet héritage et les intérêts en découlant. L'éventuel montant dû pour la période antérieure au 1er février 2007 n'étant plus exigible au vu de la péremption, il n'est pas nécessaire de fixer le montant de la fortune avant la vente du bien immobilier de feue la mère de l'assurée, intervenue en août 2006. Le cas échéant, c'est la valeur nette du bien immobilier, avant la vente, qui est déterminante et qui doit être fixée sur la base du bordereau d'impôt de feue la mère de l'assurée au 31 décembre 2005, soit un quart de 220'000 fr., c'est à dire 55'000 fr. Il n'y a aucun rendement de cette fortune, car l'appartement ne générait ni intérêts ni produit jusqu'à la vente et il n'était pas exigible de le mettre en location durant les quelques mois précédent la vente. Le montant de la fortune au 1er février 2007 doit donc être fixé sur la base du produit de la vente immobilière d'août 2006. Il ressort clairement du décompte du prix de vente de l'appartement au 29 septembre 2010 que le bien a été vendu pour 600'000 fr. brut, dont à déduire 297'357 fr. 55 d'hypothèques et de frais de courtage et 756 fr. 60 de frais de PPE, soit un prix de vente net de 301'885 fr. 85. La succession a encore dû payer des dettes de la défunte, soit des factures d'hôpital et d'assurance-maladie pour 12'138 fr. 55 et la note d'honoraire du notaire pour 1'800 fr. Avant partage, le montant de l'héritage s'élève ainsi à 287'947 fr. 30, soit à 71'986 fr. 85 pour chacun des 4 héritiers. Ensuite, chacun d'entre eux a dû</w:t>
      </w:r>
    </w:p>
    <w:p>
      <w:r>
        <w:t>A/1360/2012 - 14/16 - s'acquitter de l'impôt sur les gains immobiliers de 554 fr. 70. Il est ainsi établi par pièces que la part d'héritage de l'assurée, soit l'augmentation de sa fortune au 1er février 2007 est de 71'432 fr. Le fait que l'assurée estime que sa part d'héritage devrait être plus élevée pour des motifs qui restent obscurs (abus de tiers ou prix de vente trop bas), ne permet pas en l'état de tenir compte d'un autre montant que celui ressortant des pièces établies par le notaire. S'il s'avérait à l'issue des procédures que l'assurée dit avoir engagées que sa part est plus importante, il s'agira alors de procéder à une nouvelle révision. S'agissant de la fortune/épargne, c'est la somme de 71'432 fr., ajoutée au solde du/des comptes en banque au 31 décembre 2006 et des années suivantes (et non pas le montant existant au 31 décembre 1998) qui est déterminante. b) Les intérêts courus sur la somme bloquée par le notaire n'entrent pas dans le montant de la fortune, mais doivent être retenus par le SPC au titre de revenus de la fortune, à raison d'un quart, sur la base des montants ressortant du décompte au 29 septembre 2010 comme suit: 441 fr. 05 en 2007 (1'764 fr. 20 ./. 4), 461 fr. 20 en 2008 (1'844 fr. 70 ./. 4), 198 fr. 10 en 2009 (792 fr. 45 ./. 4), 168 fr. 60 en 2010 (674 fr. 30 ./. 4). Il n'est pas admissible de tenir compte d'un rendement hypothétique supérieur au rendement réel, l'assurée n'ayant aucune prise sur le placement de sa part d'héritage, qui est géré par le notaire. Au demeurant, rien ne permet de retenir que ce rendement serait très en dessous de celui du marché. Pour les années 2011 et 2012, il conviendra que l'assurée transmette au SPC une attestation à jour du notaire. Les revenus de l'assurée doivent donc être recalculés comme suit, sous réserve du solde d'éventuels comptes en banque: 1er février au 31 décembre 2007: Rente AVS: 10'680 fr. Fortune: 71'432 fr. retenue à hauteur de 4'643 fr. 20, respectivement 9'286 fr. 40 Intérêts: 441 fr. 05 PCF: 15'075 fr. ; PCC 1'195 fr., soit 1'356 fr./mois Sur 11 mois: restitution de 9'251 fr. (24'167 fr.-14'916 fr.), au lieu de 17'842 fr. Il conviendra de procéder de même pour les années 2008 et suivantes. Cela étant dit, l'assurée aurait intérêt à encaisser, ne serait-ce qu'à titre d'acompte, le montant de la succession lui revenant, car aussi longtemps qu'il reste bloqué, elle ne peut pas en disposer mais il est pris en compte en totalité par le SPC. Elle devra aussi, sans délai, transmettre au SPC le solde de ses divers comptes en banque ou postaux au 31 décembre des années 2006 à 2012 et l'attestation du notaire quant aux intérêts courus de 2010 à 2012.</w:t>
      </w:r>
    </w:p>
    <w:p>
      <w:r>
        <w:rPr>
          <w:b/>
        </w:rPr>
        <w:t>E. 12</w:t>
      </w:r>
    </w:p>
    <w:p>
      <w:r>
        <w:t>Le recours est partiellement admis et la décision est annulée en tant que la restitution porte sur une période antérieure au 1er février 2007, en ce qui concerne</w:t>
      </w:r>
    </w:p>
    <w:p>
      <w:r>
        <w:t>A/1360/2012 - 15/16 - les montants retenus au titre de la fortune et des revenus de celle-ci et en ce qui concerne la somme de 115'490 fr. à restituer. La cause est renvoyée au SPC pour nouveaux calculs et nouvelle décision dans le sens qui précède.</w:t>
      </w:r>
    </w:p>
    <w:p>
      <w:r>
        <w:t>A/1360/2012 - 16/16 - PAR CES MOTIFS, LA CHAMBRE DES ASSURANCES SOCIALES : Statuant A la forme : 1. Déclare le recours recevable. Au fond : 2. L'admet partiellement, annule la décision sur opposition du 13 avril 2012 et renvoie la cause à l'intimé pour nouvelle décision, dans le sens des considérants.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