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ATAS/585/2024 vom 25. Juli 2024</w:t>
      </w:r>
    </w:p>
    <w:p>
      <w:r>
        <w:t>GE Cour de justice, 2024-07-25, FR</w:t>
      </w:r>
    </w:p>
    <w:p>
      <w:r>
        <w:rPr>
          <w:b/>
        </w:rPr>
        <w:t xml:space="preserve">Quelle: </w:t>
      </w:r>
      <w:r>
        <w:t>https://mcp.opencaselaw.ch/entscheid/ge_gerichte_ATAS_585_2024</w:t>
      </w:r>
    </w:p>
    <w:p>
      <w:r>
        <w:t>FR: GE_GERICHTE ATAS/585/2024 du 25 juillet 2024</w:t>
      </w:r>
    </w:p>
    <w:p>
      <w:r>
        <w:t>IT: GE_GERICHTE ATAS/585/2024 del 25 luglio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w:t>
      </w:r>
    </w:p>
    <w:p>
      <w:r>
        <w:t>A/142/2024 - 4/14 - prestations complémentaires à l’assurance-vieillesse, survivants et invalidité du</w:t>
      </w:r>
    </w:p>
    <w:p>
      <w:r>
        <w:rPr>
          <w:b/>
        </w:rPr>
        <w:t>E. 1.2</w:t>
      </w:r>
    </w:p>
    <w:p>
      <w:r>
        <w:t>Le délai de recours est de 30 jours (art. 60 al. 1 LPGA ; art. 43 LPCC ; art. 62 al. 1 let. a de la loi sur la procédure administrative du 12 septembre 1985 [LPA - E 5 10]). Interjeté dans les forme et délai légaux, le recours est recevable. 2. Le litige porte sur la question de savoir si c’est à juste titre que l’intimé a requis de la recourante la restitution des prestations complémentaires, tant dans son principe que dans la quotité, pour la période courant du 1er janvier 2022 au 30 septembre 2023, et a supprimé toute prestation hors réduction individuelle des primes de l'assurance-maladie depuis le 1er mai 2023. 3.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 En l’occurrence, les calculs comparatifs effectués le 8 décembre 2020 en prévision de l'entrée en vigueur du nouveau droit montrent que celui-ci n'entraîne</w:t>
      </w:r>
    </w:p>
    <w:p>
      <w:r>
        <w:t>A/142/2024 - 5/14 - ni une perte du droit à la prestation complémentaire annuelle, ni une diminution de celle-ci, mais au contraire une augmentation du montant alloué, en raison des nouveaux forfaits pris en considération pour la dépense du loyer. Le nouveau droit, plus favorable, a donc été appliqué depuis le 1er janvier 2021, de sorte qu'il doit continuer à l'être. Les dispositions applicables seront par conséquent citées dans leur nouvelle teneur. 4. Les personnes qui ont leur domicile et leur résidence habituelle (art. 13 LPGA) en Suisse et qui remplissent les conditions personnelles prévues aux art. 4, 5, 6 et</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8</w:t>
      </w:r>
    </w:p>
    <w:p>
      <w:r>
        <w:t>En l'espèce, il sied de constater que la décision du 20 septembre 2023 de l'intimé, comportant des nouveaux calculs des prestations complémentaires fédérales et cantonales pour la période du 1er janvier 2022 au 30 septembre 2023, est une décision de reconsidération de ses précédentes décisions, qui a été prise dans le respect des délais de péremption. Ces éléments ne sont d'ailleurs pas contestés par la recourante. Reste à déterminer si les nouveaux calculs de l'intimé sont corrects, au regard des griefs élevés par cette dernière.</w:t>
      </w:r>
    </w:p>
    <w:p>
      <w:r>
        <w:rPr>
          <w:b/>
        </w:rPr>
        <w:t>E. 8.1</w:t>
      </w:r>
    </w:p>
    <w:p>
      <w:r>
        <w:t>Il a déjà été répondu à la question du droit applicable (cf. consid. 3 supra), et l'argumentation de la recourante selon laquelle la situation devrait être analysée sous l'angle des anciennes dispositions doit être écartée.</w:t>
      </w:r>
    </w:p>
    <w:p>
      <w:r>
        <w:rPr>
          <w:b/>
        </w:rPr>
        <w:t>E. 8.2</w:t>
      </w:r>
    </w:p>
    <w:p>
      <w:r>
        <w:t>La recourante fait valoir qu'elle est une mère célibataire, percevant des prestations de l'assurance-invalidité, vivant seule avec deux enfants sans emploi à charge, et qu'au vu de sa faible situation financière, elle aurait le droit de bénéficier de prestations complémentaires. Elle invoque en outre que le montant du subside à l'assurance-maladie qu'elle percevait a été réduit, ce qui a impacté négativement sa situation financière.</w:t>
      </w:r>
    </w:p>
    <w:p>
      <w:r>
        <w:t>A/142/2024 - 8/14 - Bien que la chambre de céans puisse concevoir que la situation économique de la recourante ne soit pas simple, les circonstances dont elle se prévaut ne fondent pas, en elles-mêmes, un droit à des prestations complémentaires, indépendamment du calcul précis des revenus et des dépenses à prendre en compte selon la législation applicable. L'argument n'a donc pas de portée propre par rapport à ceux qui suivent.</w:t>
      </w:r>
    </w:p>
    <w:p>
      <w:r>
        <w:rPr>
          <w:b/>
        </w:rPr>
        <w:t>E. 8.3</w:t>
      </w:r>
    </w:p>
    <w:p>
      <w:r>
        <w:t>La recourante reproche à l'intimé d'avoir pris en considération les pensions alimentaires dues à ses enfants par son ex-époux, alors qu'ils ne les percevaient plus depuis novembre 2022. La prise en compte de rentes, pensions et autres prestations périodiques suppose que l'assuré les ait effectivement reçues et qu'il puisse en disposer. Si tel n'est pas le cas, il faut encore examiner s'il n'y a pas un dessaisissement de revenus au sens de l'art. 11 al. 1 let. g aLPC (disposition abrogée dès le 1er janvier 2022 et remplacée par l'art. 11a LPC) (Michel VALTERIO, Commentaire de la loi fédérale sur les prestations complémentaires à l'AVS et à l'AI, 2015, n. 127 ad art. 11). Selon la jurisprudence, les contributions d'entretien qui ont fait l'objet d'une convention relative aux effets accessoires du divorce ou qui ont été fixées par le juge font partie du revenu déterminant le droit aux prestations complémentaires,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du Tribunal fédéral P 68/02 du 11 février 2004 consid. 3.2 et les références ; cf. directives concernant les prestations complémentaires à l'AVS et à l'AI, état au 1er janvier 2022, ch. 3523.01). La preuve du caractère irrécouvrable de la créance incombe au bénéficiaire des prestations complémentaires (ATF 121 V 204 consid. 6 et les références).</w:t>
      </w:r>
    </w:p>
    <w:p>
      <w:r>
        <w:t>A/142/2024 - 9/14 - En l'occurrence, en vertu d'une transaction passée devant le TPI le 28 mars 2018, l'ex-époux est tenu de verser à chacun de ses enfants, allocations familiales non comprises, une somme de CHF 200.- par mois à titre de contribution à leur entretien, jusqu'à la fin de leur formation ou de leurs études, pour autant que celles-ci soient sérieuses et régulières, mais au maximum jusqu'à 25 ans. La recourante allègue que son ex-époux n'a plus versé les contributions d'entretien en faveur des enfants depuis le mois de novembre 2022, ce qui est confirmé par les extraits de comptes bancaires produits. Au surplus, il apparaît que C______ a déposé une réquisition de poursuite à l'encontre de son père en mars 2023 et requis la mainlevée de l'opposition que celui-ci avait formée, ce qui a abouti à un jugement du TPI du 6 novembre 2023 prononçant la mainlevée définitive de l'opposition. Quant à son frère B______, il avait lui aussi, au mois de février 2023, déposé une réquisition de poursuite, portant sur les pensions impayées de novembre 2022 à janvier 2023, élément qui était inconnu de l'intimé lors de la notification de la décision querellée. Il n'est cependant pas établi que B______ ait demandé la mainlevée de l'opposition élevée contre le commandement de payer, à l'inverse de sa sœur. Aucune pièce qui attesterait de cette démarche n'est en effet produite et la recourante soutient que même si son fils allait au bout de la procédure civile, il serait quasiment utopique pour lui de se voir verser une quelconque pension. Au vu des éléments au dossier, la chambre de céans ne peut que souscrire à l'appréciation de l'intimé et confirmer la décision du 28 novembre 2023 en tant qu'elle prend en considération un montant annualisé de CHF 2'400.- à titre de pension alimentaire depuis novembre 2022. Bien que B______ ait adressé une réquisition de poursuite à l'encontre de son père, il n'apparaît pas qu'il aurait continué les démarches de recouvrement et sollicité la mainlevée de l'opposition. Au vu de la jurisprudence citée plus haut, il ne peut dès lors être considéré qu'il a épuisé toutes les voies de droit pour recouvrer sa créance. Il ne ressort en outre pas de la procédure menée par sa sœur – qui ne semble pas avoir donné de suite au jugement de mainlevée définitive et requis la continuation de la poursuite – que le débirentier serait insolvable. Aucun autre élément de la procédure, tel un extrait du registre des poursuites du père faisant état d'actes de défaut de biens, ne tend non plus à le démontrer. Dans ces circonstances, la décision de l'intimé de tenir compte des contributions d'entretien dues à B______ en tant que bien dessaisi apparaît conforme au droit, étant rappelé que la preuve du caractère irrécouvrable de la créance appartient au bénéficiaire de prestations complémentaires. Les enfants de la recourante ont par ailleurs la possibilité de contacter le service cantonal d’avance et de recouvrement des pensions alimentaires qui a pour missions, en vertu de la loi sur l’avance et le recouvrement des pensions alimentaires du 22 avril 1977 (LARPA - E 1 25) d’aider, sur demande, de manière adéquate et gratuitement toute personne créancière d’une pension alimentaire en vue d’obtenir l’exécution des prestations fondées sur un jugement ou sur une</w:t>
      </w:r>
    </w:p>
    <w:p>
      <w:r>
        <w:t>A/142/2024 - 10/14 - promesse juridiquement valable, et de verser à la personne créancière d’une pension alimentaire, sur demande et pour une durée déterminée, des avances de pensions alimentaires si les conditions légales sont remplies (art. 2 LARPA).</w:t>
      </w:r>
    </w:p>
    <w:p>
      <w:r>
        <w:rPr>
          <w:b/>
        </w:rPr>
        <w:t>E. 8.4</w:t>
      </w:r>
    </w:p>
    <w:p>
      <w:r>
        <w:t>La recourante reproche à l'intimé d'avoir commis plusieurs erreurs de calcul. Elle se prévaut en premier lieu de ce que le montant de prestations perçues mentionné dans l'attestation pour la déclaration d'impôts divergerait de celui des plans de calcul. Comme le souligne à juste titre l'intimé, l'attestation précitée ne contient pas uniquement les prestations en espèces, mais également les prestations en nature, à savoir le remboursement des frais médicaux qui font l'objet de décisions séparées (sur ces notions, cf. art. 3 LPC). Il est donc normal que des divergences puissent exister entre les deux documents. La recourante critique ensuite le montant des rentes de l'assurance-invalidité retenu pour la période du 1er janvier au 30 avril 2023 (CHF 46'992.-). Elle n'oppose cependant aucun argument aux explications motivées de l'intimé qui indique que le montant précité correspond aux sommes annualisées de sa rente et de celles de ses enfants, pour la période en question. À ce propos, il sied de souligner que l'utilisation du terme « annuelle » à l'art. 3 al. 1 let. a LPC entend mettre en évidence que le calcul y relatif est un calcul annuel (cf. Message concernant la troisième révision de la loi fédérale sur les prestations complémentaires à l'AVS et à l'AI [3ème révision], du 20 novembre 1996, FF 1997 I 1137, p. 1152). Le résultat recherché par la recourante, visant à établir ses revenus en fonction des montants de rentes d'invalidité qu'elle a perçus rétroactivement sur l'année pour elle-même et ses enfants, divisés par douze et multipliés par le nombre de mois de la période considérée, ne peut donc être appliqué dans les situations où, comme en l'espèce, des changements se sont produits en cours d'année. Dans ces cas, il faut au contraire procéder à un nouveau calcul de la prestation complémentaire annuelle, conformément aux art. 25 al. 1 let. b OPC-AVS/AI et 19 LPCC. La recourante ne peut non plus être suivie lorsqu'elle affirme que le montant des rentes de l'assurance-invalidité pris en considération serait erroné dans la mesure où sa fille, qui a atteint l'âge de 25 ans en avril 2023, ne perçoit plus de rente pour enfant depuis lors. Il ressort en effet des tableaux de l'intimé qu'il a précisément établi un nouveau calcul dès le mois de mai 2023 afin de tenir compte de la baisse de ressources depuis lors. En conformité avec l'art. 10 al. 1 let. a ch. 3 LPC, il a cependant également dû retrancher des dépenses reconnues la charge financière que représente C______, celle-ci n'ayant plus de droit à une rente pour enfant de l'assurance-invalidité. Ainsi, contrairement à ce que soutient la recourante, il n'y a pas d'incohérence entre la diminution du montant global de rentes de l'assurance-</w:t>
      </w:r>
    </w:p>
    <w:p>
      <w:r>
        <w:t>A/142/2024 - 11/14 - invalidité perçues et l'absence, corrélativement, d'augmentation des prestations complémentaires. Concernant le montant des prestations complémentaires cantonales pour la période du 1er janvier au 30 avril 2023, la recourante confond le montant qui lui est dû à ce titre avec les prestations complémentaires fédérales qui doivent, en vertu de l'art. 5 al. 1 let. a LPCC, être intégrées dans le revenu déterminant. La décision de l'intimé à cet égard ne contient pas d'incohérence et est conforme au droit.</w:t>
      </w:r>
    </w:p>
    <w:p>
      <w:r>
        <w:rPr>
          <w:b/>
        </w:rPr>
        <w:t>E. 8.5</w:t>
      </w:r>
    </w:p>
    <w:p>
      <w:r>
        <w:t>Dans son écriture de recours, la recourante a exposé qu'elle ne percevait plus de rente de l'assurance-invalidité en faveur de son fils B______ depuis le mois de septembre 2023, ce qui n'avait pas été pris en compte par l'intimé. Dans ses écritures, l'intimé a en outre précisé que la suppression de la rente pour enfant a pris effet au 30 septembre 2023, raison pour laquelle ce fait lui était inconnu lors du prononcé de la décision du 20 septembre 2023. Il était par ailleurs postérieur à la période litigieuse. Il n'y a aucune raison de revenir sur la date de suppression de la rente d'invalidité de B______ au 30 septembre 2023, cet élément n'étant pas contesté par la recourante. Cela étant, contrairement à ce qu'indique l'intimé, dans la mesure où les décisions du 20 septembre et 28 novembre 2023 ne déploient pas uniquement leurs effets jusqu'au 30 septembre 2023 – puisqu'elles nient le droit de la recourante à des prestations complémentaires hors réduction individuelle de primes dès le 1er mai 2023 de manière non limitée dans le temps –, il ne peut être considéré que ce fait est postérieur à la période litigieuse et ne pourrait être pris en compte dans la présente procédure. Cependant, l'intimé a dans l'intervalle, en date du 2 février 2024, rendu une nouvelle décision intégrant la suppression de la rente d'invalidité pour enfant dans la situation de fait. Dans cette mesure, il n'est pas nécessaire de renvoyer la cause à l'intimé pour prise de décision sur ce point.</w:t>
      </w:r>
    </w:p>
    <w:p>
      <w:r>
        <w:rPr>
          <w:b/>
        </w:rPr>
        <w:t>E. 8.6</w:t>
      </w:r>
    </w:p>
    <w:p>
      <w:r>
        <w:t>La recourante soutient, enfin, que les allocations familiales de son fils ont été supprimées en août 2023, ce qui impliquerait que les calculs de l'intimé – prenant en compte cette ressource jusqu'au 30 septembre 2023 – seraient erronés. À ce propos, l'intimé précise pour sa part que les allocations familiales ont déjà été supprimées au 30 juin 2023, selon les registres de la centrale de compensation. Il prétend néanmoins qu'à défaut d'explications et de pièces permettant de comprendre la raison de cette suppression, alors que le fils était encore en formation, il faudrait en tenir compte dans les ressources à titre de dessaisissement de revenus. Il faudrait en effet considérer que les allocations familiales ont été supprimées déjà au 1er juillet 2023, en raison d'une violation de l'obligation de renseigner ou d'un motif similaire. La recourante le conteste et affirme qu'elle a communiqué à l'organe compétent l'attestation de formation de son fils.</w:t>
      </w:r>
    </w:p>
    <w:p>
      <w:r>
        <w:t>A/142/2024 - 12/14 - Une attestation délivrée par l'Université de Genève le 6 février 2023 figure au dossier de l'intimé, mentionnant que le fils de la recourante était inscrit au semestre de printemps 2023, du 20 février au 17 septembre 2023. On imagine mal que cette attestation n'ait pas été communiquée à la caisse compétente pour le versement des allocations familiales, à défaut de quoi celles-ci n'auraient manifestement pas été versées jusqu'au 30 juin 2023. Sur la base des éléments figurant au dossier, il ne peut être retenu, sous l'angle de la vraisemblance prépondérante applicable en matière d'assurances sociales (ATF 126 V 353 consid. 5b et les références ; 125 V 193 consid. 2 et les références ; cf. 130 III 321 consid. 3.2 et 3.3 et les références), que la suppression des allocations familiales est due à une violation de l'obligation de renseigner ou à un motif similaire. Il n'y a par conséquent pas de place pour la prise en compte de revenus dessaisis au sens de l'art. 11a al. 2 LPC. Les plans de calcul qui portent sur la période du 1er juillet au 30 septembre 2023 et intègrent les allocations familiales dans le revenu déterminant sont donc erronés et le recours doit être admis sur ce point.</w:t>
      </w:r>
    </w:p>
    <w:p>
      <w:r>
        <w:rPr>
          <w:b/>
        </w:rPr>
        <w:t>E. 8.7</w:t>
      </w:r>
    </w:p>
    <w:p>
      <w:r>
        <w:t>Dans un autre moyen, la recourante se prévaut de la violation du principe de la proportionnalité et de l'art. 12 de la Constitution fédérale de la Confédération suisse du 18 avril 1999 (Cst. - RS 101), dans la mesure où la réduction de son droit aux prestations complémentaires la place dans une situation financière très délicate et met en danger sa dignité humaine et celle de ses enfants, qui sont encore à sa charge. Ces arguments doivent être rejetés. Hormis la question de la prise en considération des allocations familiales dans le revenu déterminant, les calculs opérés par l'intimé s'avèrent conformes au droit et, même s'ils entraînent une diminution des prestations versées à la recourante, ne sauraient être tenus pour contraires aux principes constitutionnels susmentionnés, en tant qu'ils sont fondés sur la législation applicable en matière de prestations complémentaires. Au surplus, le fait que la décision litigieuse ne soit pas confirmée sur un point par la chambre de céans ne suffit pas à dire que les principes invoqués ont été violés. Les critiques de la recourante à cet égard n'ont en outre pas de portée propre par rapport à la contestation en elle-même de la prise en considération des allocations familiales dans le revenu déterminant.</w:t>
      </w:r>
    </w:p>
    <w:p>
      <w:r>
        <w:rPr>
          <w:b/>
        </w:rPr>
        <w:t>E. 8.8</w:t>
      </w:r>
    </w:p>
    <w:p>
      <w:r>
        <w:t>En dernier lieu, la recourante invoque le principe de la bonne foi et le fait qu'elle n'a pas rapporté de fausses déclarations sur sa situation, ni n'a omis de renseigner l'intimé sur de quelconques augmentations de revenus. Il sied de rappeler que l'obligation de restituer des prestations complémentaires indûment touchées et son étendue dans le temps n’est pas liée à une violation de l'obligation de renseigner, mais qu'il s'agit simplement de rétablir l'ordre légal et de corriger une application initiale erronée du droit (cf. consid. 10 supra).</w:t>
      </w:r>
    </w:p>
    <w:p>
      <w:r>
        <w:t>A/142/2024 - 13/14 - La bonne foi dont se prévaut la recourante n'est ainsi pas décisive en ce qui concerne le principe de la restitution. L'art. 25 al. 1 2ème phr. LPGA énonce cependant que la restitution des prestations indûment touchées ne peut être exigée lorsque l’intéressé était de bonne foi et qu’elle le mettrait dans une situation difficile. Au surplus,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Au vu des normes citées ci-dessus, la question de la bonne foi de la recourante devra être analysée, de pair avec celle de sa situation financière difficile, une fois que la décision concernant le montant des prestations indûment touchées à restituer sera entrée en force. La remise de l'obligation de restituer est en effet une procédure distincte et subséquente à celle de la restitution, qui n'est traitée sur le fond que si la décision à cet égard est entrée en force (arrêt du Tribunal fédéral 8C_118/2022 du 9 août 2022 consid. 4.3.2 et la référence). Au vu de ce qui précède, le recours sera partiellement admis et la décision du 28 novembre 2023 sera annulée en tant qu'elle prend en compte dans le revenu déterminant des allocations familiales pour la période du 1er juillet au 30 septembre 2023.</w:t>
      </w:r>
    </w:p>
    <w:p>
      <w:r>
        <w:rPr>
          <w:b/>
        </w:rPr>
        <w:t>E. 9.1</w:t>
      </w:r>
    </w:p>
    <w:p>
      <w:r>
        <w:t>La cause sera ainsi renvoyée à l'intimé afin qu'il procède à de nouveaux calculs des prestations complémentaires et rende ensuite une nouvelle décision.</w:t>
      </w:r>
    </w:p>
    <w:p>
      <w:r>
        <w:rPr>
          <w:b/>
        </w:rPr>
        <w:t>E. 9.2</w:t>
      </w:r>
    </w:p>
    <w:p>
      <w:r>
        <w:t>Bien qu'obtenant partiellement gain de cause, la recourante, non représentée, n'a pas droit à des dépens.</w:t>
      </w:r>
    </w:p>
    <w:p>
      <w:r>
        <w:rPr>
          <w:b/>
        </w:rPr>
        <w:t>E. 9.3</w:t>
      </w:r>
    </w:p>
    <w:p>
      <w:r>
        <w:t>Pour le surplus, la procédure est gratuite (art. 61 let. fbis LPGA a contrario et 89H al. 1 LPA).</w:t>
      </w:r>
    </w:p>
    <w:p>
      <w:r>
        <w:t>A/142/2024 - 14/14 -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