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ATAS/585/2023 vom 21. Januar 2021</w:t>
      </w:r>
    </w:p>
    <w:p>
      <w:r>
        <w:t>GE Cour de justice, 2021-01-21, FR</w:t>
      </w:r>
    </w:p>
    <w:p>
      <w:r>
        <w:rPr>
          <w:b/>
        </w:rPr>
        <w:t xml:space="preserve">Quelle: </w:t>
      </w:r>
      <w:r>
        <w:t>https://mcp.opencaselaw.ch/entscheid/ge_gerichte_ATAS_585_2023</w:t>
      </w:r>
    </w:p>
    <w:p>
      <w:r>
        <w:t>FR: GE_GERICHTE ATAS/585/2023 du 21 janvier 2021</w:t>
      </w:r>
    </w:p>
    <w:p>
      <w:r>
        <w:t>IT: GE_GERICHTE ATAS/585/2023 del 21 gennaio 2021</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le recours est prima facie recevable (art. 56 et 60 LPGA ; art. 89B de la loi sur la procédure administrative du 12 septembre 1985 [LPA - E 5 10]).</w:t>
      </w:r>
    </w:p>
    <w:p>
      <w:r>
        <w:rPr>
          <w:b/>
        </w:rPr>
        <w:t>E. 2</w:t>
      </w:r>
    </w:p>
    <w:p>
      <w:r>
        <w:t>Le recourant, en sollicitant l’annulation de la décision du 10 mai 2023, a formé une demande de restitution de l’effet suspensif à son recours.</w:t>
      </w:r>
    </w:p>
    <w:p>
      <w:r>
        <w:rPr>
          <w:b/>
        </w:rPr>
        <w:t>E. 3.1</w:t>
      </w:r>
    </w:p>
    <w:p>
      <w:r>
        <w:t>À teneur de l’art. 49 al. 5 LPGA, dans sa décision, l’assureur peut priver toute opposition ou tout recours de l’effet suspensif, même si cette décision porte sur une prestation en espèces. Les décisions ordonnant la restitution de prestations versées indûment sont exceptées. Ces principes s’appliquent également aux décisions sur opposition (cf. art. 52 al. 4 LPGA entré en vigueur le 1er janvier 2021).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sur la procédure administrative du 20 décembre 1968 (PA - RS 107.021) en relation avec l’art. 55 al. 1 LPGA, de priver de l’effet suspensif tout recours éventuel contre une décision qui ne portait pas sur une prestation en espèces. De plus, conformément à la jurisprudence et à</w:t>
      </w:r>
    </w:p>
    <w:p>
      <w:r>
        <w:t>A/1959/2023 - 4/7 -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phrase LPGA).</w:t>
      </w:r>
    </w:p>
    <w:p>
      <w:r>
        <w:rPr>
          <w:b/>
        </w:rPr>
        <w:t>E. 3.2</w:t>
      </w:r>
    </w:p>
    <w:p>
      <w:r>
        <w:t>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3.3</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w:t>
      </w:r>
    </w:p>
    <w:p>
      <w:r>
        <w:t>A/1959/2023 - 5/7 -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 846/2018 du 29 novembre 2019 consid. 7.1 et 9C_207/2014 du 1er mai 2014 consid. 5.3).</w:t>
      </w:r>
    </w:p>
    <w:p>
      <w:r>
        <w:rPr>
          <w:b/>
        </w:rPr>
        <w:t>E. 4</w:t>
      </w:r>
    </w:p>
    <w:p>
      <w:r>
        <w:t>À titre préalable, il est rappelé que seule la décision du 10 mai 2023 fait l’objet d’une demande de restitution de l’effet suspensif.</w:t>
      </w:r>
    </w:p>
    <w:p>
      <w:r>
        <w:rPr>
          <w:b/>
        </w:rPr>
        <w:t>E. 5</w:t>
      </w:r>
    </w:p>
    <w:p>
      <w:r>
        <w:t>En l’espèce, suite au séjour de l’assuré à la clinique romande de réadaptation à Sion, à la fin de l’année 2019, aucune psychopathologie n’a été retenue et seule une minime lésion du tendon supra épineux a été constatée, n’expliquant toutefois pas les douleurs et la raideur de l’épaule. La stabilisation devait intervenir dans un délai de quatre mois. Par avis du 10 juin 2020, le professeur B______, médecin- chef de service au Centre hospitalier universitaire vaudois (CHUV), a indiqué, après avoir examiné l’assuré, qu’il n’avait pas d’explication orthopédique aux douleurs résiduelles. Le docteur C______, spécialiste FMH en chirurgie orthopédique et médecin d’arrondissement de la SUVA, a considéré, dans son rapport médical du 9 septembre 2020, que les douleurs de l’assuré étaient en relation de causalité avec l’accident. Son activité d’étancheur n’était plus possible, mais une incapacité totale de travail n’était pas justifiée et une activité compatible avec les limitations fonctionnelles était tout à fait envisageable. Lors d’un examen ultérieur, effectué en date du 11 janvier 2023, le médecin d’arrondissement C______ a constaté, à plus de trois ans de l’accident, une évolution clinique favorable ainsi qu’une récupération presque complète des amplitudes articulaires, tout en mentionnant que « sur les éléments disponibles », il hésitait « à proposer</w:t>
      </w:r>
    </w:p>
    <w:p>
      <w:r>
        <w:t>A/1959/2023 - 6/7 - une indemnité pour atteinte à l’intégrité ». Suite à des examens radiographiques, le Dr C______ a estimé que l’atteinte à l’intégrité se limitait à 5%, selon son appréciation médicale du 4 mai 2023. Le mandataire de l’assuré ne produit aucune pièce médicale susceptible d’infirmer l’appréciation du Dr C______ et la décision de la SUVA. Il allègue que la preuve de la nécessité d’octroyer une rente ainsi qu’une indemnité à son mandant est matérialisée par le fait qu’il ne peut exercer qu’une activité de chauffeur de camion de la voirie et qu’il n’a eu d’autre choix que d’accepter cet emploi dans le cadre d’une mesure d’adaptation prise par l’office de l’assurance-invalidité du canton de Genève (ci-après : l'OAI) qui lui aurait reconnu un taux d’invalidité de 30%. En l’état du dossier, le recourant ne produit pas de pièce médicale pouvant soutenir ses allégations. Les rapports du médecin d’arrondissement de la SUVA sont, quant à eux, convaincants. Le fait que le recourant ait dû se contenter d’accepter un emploi moins bien rémunéré que sa précédente activité d’étancheur, dans le cadre de mesures de réadaptation de l’OAI, ne suffit pas à démontrer, prima facie, un droit à une rente ou à une indemnisation de la SUVA.</w:t>
      </w:r>
    </w:p>
    <w:p>
      <w:r>
        <w:rPr>
          <w:b/>
        </w:rPr>
        <w:t>E. 6</w:t>
      </w:r>
    </w:p>
    <w:p>
      <w:r>
        <w:t>Dans ces circonstances, les chances de succès du recourant sur le fond ne paraissent pas évidentes à première vue. Dès lors, l’intérêt de l’intimée à l’exécution immédiate de la décision faisant l’objet du recours l’emporte sur celui du recourant à obtenir le versement de prestations. L’issue de la procédure étant incertaine, il existe un risque important qu’il ne puisse pas rembourser les prestations qui lui seraient versées à tort par l’intimée pendant la procédure.</w:t>
      </w:r>
    </w:p>
    <w:p>
      <w:r>
        <w:rPr>
          <w:b/>
        </w:rPr>
        <w:t>E. 7</w:t>
      </w:r>
    </w:p>
    <w:p>
      <w:r>
        <w:t>Partant, la chambre de céans n’a d’autre choix que de rejeter la demande de restitution de l’effet suspensif.</w:t>
      </w:r>
    </w:p>
    <w:p>
      <w:r>
        <w:rPr>
          <w:b/>
        </w:rPr>
        <w:t>E. 8</w:t>
      </w:r>
    </w:p>
    <w:p>
      <w:r>
        <w:t>La suite de la procédure est réservée.</w:t>
      </w:r>
    </w:p>
    <w:p>
      <w:r>
        <w:t>A/1959/2023 - 7/7 - PAR CES MOTIFS, LA CHAMBRE DES ASSURANCES SOCIALES : Statuant selon l’art. 21 al. 2 LPA 1. Rejette la demande de restitution de l’effet suspensif. 2. Réserve la suite de la procédure.</w:t>
      </w:r>
    </w:p>
    <w:p>
      <w:r>
        <w:t>La greffière</w:t>
      </w:r>
    </w:p>
    <w:p>
      <w:r>
        <w:t>Véronique SERAIN</w:t>
      </w:r>
    </w:p>
    <w:p>
      <w:r>
        <w:t>Le président</w:t>
      </w:r>
    </w:p>
    <w:p>
      <w:r>
        <w:t>Philippe KNUPFER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