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ATAS/584/2024 vom 25. Juli 2024</w:t>
      </w:r>
    </w:p>
    <w:p>
      <w:r>
        <w:t>GE Cour de justice, 2024-07-25, FR</w:t>
      </w:r>
    </w:p>
    <w:p>
      <w:r>
        <w:rPr>
          <w:b/>
        </w:rPr>
        <w:t xml:space="preserve">Quelle: </w:t>
      </w:r>
      <w:r>
        <w:t>https://mcp.opencaselaw.ch/entscheid/ge_gerichte_ATAS_584_2024</w:t>
      </w:r>
    </w:p>
    <w:p>
      <w:r>
        <w:t>FR: GE_GERICHTE ATAS/584/2024 du 25 juillet 2024</w:t>
      </w:r>
    </w:p>
    <w:p>
      <w:r>
        <w:t>IT: GE_GERICHTE ATAS/584/2024 del 25 luglio 2024</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 conformément aux art. 122 à 124e du CC et 280 et 281 du CPC ;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w:t>
      </w:r>
    </w:p>
    <w:p>
      <w:r>
        <w:t>A/4230/2023 5/6 en 2008, 2% de 2009 à 2011, 1.5% de 2012 à 2013, 1.75% de 2014 à 2015, 1.25% en 2016, 1% de 2017 à 2023 et 1.25% dès le 1er janvier 2024. Si le règlement de l'institution de prévoyance prévoit un taux d'intérêt supérieur pour l'avoir de vieillesse, ce taux est alors applicable (arrêt du Tribunal fédéral 9C_149/2017 du 10 octobre 2017 consid. 5.1).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w:t>
      </w:r>
    </w:p>
    <w:p>
      <w:r>
        <w:rPr>
          <w:b/>
        </w:rPr>
        <w:t>E. 5</w:t>
      </w:r>
    </w:p>
    <w:p>
      <w:r>
        <w:t>décembre 2019, date à laquelle la demande en divorce a été déposée.</w:t>
      </w:r>
    </w:p>
    <w:p>
      <w:r>
        <w:rPr>
          <w:b/>
        </w:rPr>
        <w:t>E. 6</w:t>
      </w:r>
    </w:p>
    <w:p>
      <w:r>
        <w:t>Il sied de préciser que les mesures d’instruction effectuées par la chambre de céans n’ont pas permis de mettre en évidence d'autres avoirs LPP accumulés par les demandeurs durant la période du mariage. Force est à cet égard de rappeler que seules les cotisations effectivement versées peuvent être prises en considération dans le cadre d'une procédure visant au partage des prestations de sortie en matière de prévoyance professionnelle (ATAS/1365/2012 du 13 novembre 2012 consid. 5).</w:t>
      </w:r>
    </w:p>
    <w:p>
      <w:r>
        <w:rPr>
          <w:b/>
        </w:rPr>
        <w:t>E. 7</w:t>
      </w:r>
    </w:p>
    <w:p>
      <w:r>
        <w:t>Selon les documents produits, la prestation acquise pendant le mariage par le demandeur est de CHF 74'572.32 tandis que celle acquise par la demanderesse est de CHF 4'980.-, les intérêts ayant déjà été calculés par les institutions de prévoyance défenderesses. Ainsi le demandeur doit à son ex-épouse le montant de CHF 37'286.16 (CHF 74'572.32 : 2) et celle-ci doit à celui-là le montant de CHF 2'490.- (CHF 4'980.- : 2), de sorte que c’est Monsieur qui doit à Madame le montant de CHF 34'796.16.</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 [LPA - E 5 10]). ***</w:t>
      </w:r>
    </w:p>
    <w:p>
      <w:r>
        <w:t>A/4230/2023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