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ATAS/584/2016 vom 14. Juli 2016</w:t>
      </w:r>
    </w:p>
    <w:p>
      <w:r>
        <w:t>GE Cour de justice, 2016-07-14, FR</w:t>
      </w:r>
    </w:p>
    <w:p>
      <w:r>
        <w:rPr>
          <w:b/>
        </w:rPr>
        <w:t xml:space="preserve">Quelle: </w:t>
      </w:r>
      <w:r>
        <w:t>https://mcp.opencaselaw.ch/entscheid/ge_gerichte_ATAS_584_2016</w:t>
      </w:r>
    </w:p>
    <w:p>
      <w:r>
        <w:t>FR: GE_GERICHTE ATAS/584/2016 du 14 juillet 2016</w:t>
      </w:r>
    </w:p>
    <w:p>
      <w:r>
        <w:t>IT: GE_GERICHTE ATAS/584/2016 del 14 luglio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Sa compétence pour juger du cas d’espèce est ainsi établie.</w:t>
      </w:r>
    </w:p>
    <w:p>
      <w:r>
        <w:rPr>
          <w:b/>
        </w:rPr>
        <w:t>E. 2</w:t>
      </w:r>
    </w:p>
    <w:p>
      <w:r>
        <w:t>A teneur de l'art. 1 al. 1 LAI, les dispositions de la LPGA s'appliquent à l'assurance-invalidité,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 quart de rente d’invalidité.</w:t>
      </w:r>
    </w:p>
    <w:p>
      <w:r>
        <w:rPr>
          <w:b/>
        </w:rPr>
        <w:t>E. 5</w:t>
      </w:r>
    </w:p>
    <w:p>
      <w:r>
        <w:t>Est réputée invalidité, l'incapacité de gain totale ou partielle présumée permanente ou de longue durée, résultant d'une infirmité congénitale, d'une</w:t>
      </w:r>
    </w:p>
    <w:p>
      <w:r>
        <w:t>- 9/16-</w:t>
      </w:r>
    </w:p>
    <w:p>
      <w:r>
        <w:t>A/672/2016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Dans l'éventualité où des troubles psychiques ayant valeur de maladie sont finalement admis, il y a alors lieu d'évaluer le caractère exigible de la reprise d'une activité lucrative par l'assuré, au besoin moyennant un traitement thérapeutique.</w:t>
      </w:r>
    </w:p>
    <w:p>
      <w:r>
        <w:t>- 10/16-</w:t>
      </w:r>
    </w:p>
    <w:p>
      <w:r>
        <w:t>A/672/2016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Sans remettre en cause le principe de la libre appréciation des preuves, le Tribunal fédéral des assurances a posé des lignes directrices en ce qui concerne la manière d'apprécier certains types d'expertises ou de rapports médicaux.</w:t>
      </w:r>
    </w:p>
    <w:p>
      <w:r>
        <w:t>- 11/16-</w:t>
      </w:r>
    </w:p>
    <w:p>
      <w:r>
        <w:t>A/672/2016</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w:t>
      </w:r>
    </w:p>
    <w:p>
      <w:r>
        <w:t>- 12/16-</w:t>
      </w:r>
    </w:p>
    <w:p>
      <w:r>
        <w:t>A/672/2016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w:t>
      </w:r>
    </w:p>
    <w:p>
      <w:r>
        <w:t>- 13/16-</w:t>
      </w:r>
    </w:p>
    <w:p>
      <w:r>
        <w:t>A/672/2016 consid. 4.4.1.3 et 4.4.1.4; SVR 2010 IV n. 49 p. 151, consid. 3.5; arrêt du Tribunal fédéral 8C_760/2011 du 26 janvier 2012 consid. 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w:t>
      </w:r>
    </w:p>
    <w:p>
      <w:r>
        <w:t>- 14/16-</w:t>
      </w:r>
    </w:p>
    <w:p>
      <w:r>
        <w:t>A/672/2016 assurances I 43/05 du 30 juin 2006 consid. 5.2 et I 1/03 du 15 avril 2003 consid. 5.2).</w:t>
      </w:r>
    </w:p>
    <w:p>
      <w:r>
        <w:rPr>
          <w:b/>
        </w:rPr>
        <w:t>E. 13</w:t>
      </w:r>
    </w:p>
    <w:p>
      <w:r>
        <w:t>Des mesures de réadaptation professionnelle sont-elles envisageables ?</w:t>
      </w:r>
    </w:p>
    <w:p>
      <w:r>
        <w:rPr>
          <w:b/>
        </w:rPr>
        <w:t>E. 14</w:t>
      </w:r>
    </w:p>
    <w:p>
      <w:r>
        <w:t>Faire toutes autres observations ou suggestions utiles.</w:t>
      </w:r>
    </w:p>
    <w:p>
      <w:r>
        <w:t>II. Réserve le sort des frais jusqu’à droit jugé au fond.</w:t>
      </w:r>
    </w:p>
    <w:p>
      <w:r>
        <w:t>La greffière</w:t>
      </w:r>
    </w:p>
    <w:p>
      <w:r>
        <w:t>Alicia PERRONE</w:t>
      </w:r>
    </w:p>
    <w:p>
      <w:r>
        <w:t>La présidente</w:t>
      </w:r>
    </w:p>
    <w:p>
      <w:r>
        <w:t>Valérie MONTANI</w:t>
      </w:r>
    </w:p>
    <w:p>
      <w:r>
        <w:t>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