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ATAS/584/2015 vom 6. August 2015</w:t>
      </w:r>
    </w:p>
    <w:p>
      <w:r>
        <w:t>GE Cour de justice, 2015-08-06, FR</w:t>
      </w:r>
    </w:p>
    <w:p>
      <w:r>
        <w:rPr>
          <w:b/>
        </w:rPr>
        <w:t xml:space="preserve">Quelle: </w:t>
      </w:r>
      <w:r>
        <w:t>https://mcp.opencaselaw.ch/entscheid/ge_gerichte_ATAS_584_2015</w:t>
      </w:r>
    </w:p>
    <w:p>
      <w:r>
        <w:t>FR: GE_GERICHTE ATAS/584/2015 du 6 août 2015</w:t>
      </w:r>
    </w:p>
    <w:p>
      <w:r>
        <w:t>IT: GE_GERICHTE ATAS/584/2015 del 6 agosto 2015</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w:t>
      </w:r>
    </w:p>
    <w:p>
      <w:r>
        <w:t>A/577/2015 - 6/12 - la LPGA et ses dispositions d’exécution, sont applicables par analogie en cas de silence de la législation cantonale (art. 1A LPCC). La LPC a connu plusieurs modifications concernant le montant des revenus déterminants, entrées en vigueur le 1er janvier 2011.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ATFA non publié U 18/07 du 7 février 2008, consid. 1.2). En l’espèce, les faits juridiquement déterminants sont intervenus dès 2014, de sorte que le droit aux prestations complémentaires se détermine selon les dispositions de la LPC dans sa teneur en vigueur depuis 2011.</w:t>
      </w:r>
    </w:p>
    <w:p>
      <w:r>
        <w:rPr>
          <w:b/>
        </w:rPr>
        <w:t>E. 3</w:t>
      </w:r>
    </w:p>
    <w:p>
      <w:r>
        <w:t>Les décisions sur opposition sont sujettes à recours dans le délai de trente jours suivant la notification auprès du tribunal des assurances compétent (cf. art. 56 et 60 LPGA ; art. 9 de la loi cantonale du 14 octobre 1965 sur les prestations fédérales complémentaires à l’assurance-vieillesse et survivants et à l’assurance-invalidité [LPFC; RSG J 4 20]; art. 43 LPCC). Interjeté dans les formes et délais légaux, le recours est recevable.</w:t>
      </w:r>
    </w:p>
    <w:p>
      <w:r>
        <w:rPr>
          <w:b/>
        </w:rPr>
        <w:t>E. 4</w:t>
      </w:r>
    </w:p>
    <w:p>
      <w:r>
        <w:t>Le litige porte sur le calcul du droit de la recourante aux prestations complémentaires dès le 1er avril 2014, singulièrement sur la prise en compte d’un dessaisissement à hauteur de CHF 1'772'781.- et l’estimation de sa fortune.</w:t>
      </w:r>
    </w:p>
    <w:p>
      <w:r>
        <w:rPr>
          <w:b/>
        </w:rPr>
        <w:t>E. 5</w:t>
      </w:r>
    </w:p>
    <w:p>
      <w:r>
        <w:t>a. En vertu de l'art. 4 al. 1 let. a et c LPC, les personnes qui ont leur domicile et leur résidence habituelle en Suisse ont droit à des prestations complémentaires fédérales, dès lors qu'elles perçoivent une rente de vieillesse de l’assurance- vieillesse et survivants, ou ont droit à une rente ou à une allocation pour impotent de l’assurance-invalidité. b. Les prestations complémentaires fédérales se composent de la prestation complémentaire annuelle et du remboursement des frais de maladie et d’invalidité (art. 3 al. 1 LPC). Le montant de la prestation complémentaire annuelle correspond à la part des dépenses reconnues qui excède les revenus déterminants (art. 9 al. 1 LPC). Selon l’art. 11 al. 1 LPC, les revenus déterminants comprennent notamment le produit de la fortune mobilière et immobilière (let. b), un dixième de la fortune nette pour les bénéficiaires de rentes de vieillesse, dans la mesure où elle dépasse CHF 37'500.- pour les personnes seules, les rentes de l’AVS et de l’AI (let. d), et les ressources et parts de fortune dont un ayant droit s’est dessaisi (let. g). Par fortune au sens de cette disposition, il faut comprendre toutes les choses mobilières et immobilières ainsi que les droits personnels et réels qui sont la propriété de l’assuré et qui peuvent être transformés en espèces (par le biais d’une vente ou d’un nantissement par exemple) pour être utilisés (MULLER, Bundesgesetz über Ergäzungsleistungen zur Alters-, Hinterlassenen- und</w:t>
      </w:r>
    </w:p>
    <w:p>
      <w:r>
        <w:t>A/577/2015 - 7/12 - Invalidenversicherung, 2006 n° 35, JÖHL, Ergänzungsleistungen zur AHV/IV, SBVR XIV, 2007, n° 216 p. 1789). Ainsi, font notamment partie de la fortune : les gains à la loterie, la valeur de rachat d’une assurance-vie, l’épargne, les actions, les obligations, les successions, les versements en capital d’assurances, l’argent liquide, etc. (MULLER, op.cit, n° 35), les créances (JÖHL, op. cit., n° 216 p. 1789) ou encore les prêts accordés (CARIGIET / KOCH, Ergänzungsleistungen zur AHV/IV, Supplement, p. 96). En d’autres termes, ne sont à considérer comme fortune imputable au sens de l’art. 11 al. 1 let. c LPC (anciennement art. 3 al. 1 let. b aLPC) que les actifs que l’assuré a effectivement reçus et dont il peut disposer sans restriction (ATF 110 V 17 consid. 3). c. L’art. 10 al. 1 let. a LPC, dans sa teneur en vigueur dès le 1er janvier 2013, prévoit, pour les personnes vivant à domicile, que les dépenses reconnues comprennent les montants destinés à la couverture des besoins vitaux, soit, par année CHF 19'210.- pour les personnes seules (ch. 1). Selon la let. b de cette disposition, les dépenses reconnues comprennent en outre le loyer d’un appartement et les frais accessoires y relatifs; le montant annuel maximal reconnu est de CHF 13'200.- pour les personnes seules (ch. 1). d. A teneur de l'art. 4 LPCC, ont droit aux prestations complémentaires cantonales les personnes dont le revenu annuel déterminant n’atteint pas le revenu minimum cantonal d’aide sociale applicable. Le montant de la prestation complémentaire correspond à la différence entre les dépenses reconnues et le revenu déterminant du requérant (art. 15 al. 1 LPCC). Selon l'art. 5 LPCC, dans sa teneur dès le 1er janvier 2008, le revenu déterminant est calculé conformément aux règles fixées dans la LPC et ses dispositions d'exécution, moyennant les adaptations suivantes : les prestations complémentaires fédérales sont ajoutées au revenu déterminant (let. a) et, en dérogation à l'art. 11 al. 1 let. c LPC, la part de la fortune nette prise en compte dans le calcul du revenu déterminant est de un huitième, respectivement de un cinquième pour les bénéficiaires de rentes de vieillesse, et ce après déduction des franchises prévues par cette disposition (let. c ch. 1).</w:t>
      </w:r>
    </w:p>
    <w:p>
      <w:r>
        <w:rPr>
          <w:b/>
        </w:rPr>
        <w:t>E. 6</w:t>
      </w:r>
    </w:p>
    <w:p>
      <w:r>
        <w:t>Le Conseil fédéral a la compétence d’édicter des prescriptions sur l’évaluation du revenu déterminant et de la fortune à prendre en compte (art. 3 al. 6 aLPC et 9 al. 5 let. b LPC). S’agissant de l’évaluation de la fortune à prendre en compte, le Conseil fédéral a fait usage de sa compétence en édictant l’art. 17 de l’ordonnance sur les prestations complémentaires à l’assurance-vieillesse, survivants et invalidité du 15 janvier 1971 (OPC-AVS/AI ; RS 831.301). Cette disposition prévoit que la fortune doit être évaluée selon les règles de la législation sur l’impôt cantonal direct du canton du domicile (al. 1). Il s’agit de la fortune mobilière ainsi que les immeubles appartenant et servant d’habitation au requérant ou à une personne comprise dans le calcul de la PC. Cette réglementation n’outrepasse pas</w:t>
      </w:r>
    </w:p>
    <w:p>
      <w:r>
        <w:t>A/577/2015 - 8/12 - manifestement le cadre de la délégation de compétence accordée au Conseil fédéral (ATF 125 V 69 consid. 3a; VSI 3/1999 p. 86 ss). En outre, selon l’art. 7 LPCC, dans sa teneur en vigueur dès le 1er janvier 2008, la fortune comprend la fortune mobilière et immobilière définie par la LPC et ses dispositions d'exécution (al. 1). La fortune est évaluée selon les règles de la loi sur l'imposition des personnes physiques, du 27 septembre 2009, à l'exception notamment des règles concernant les déductions sociales sur la fortune, prévues aux art. 50, let. e, et 58 de ladite loi, qui ne sont pas applicables. Les règles d'évaluation prévues par la LPC et ses dispositions d'exécution sont réservées (al. 2). En règle générale, sont pris en compte pour le calcul de la prestation complémentaire annuelle les revenus déterminants obtenus au cours de l'année civile précédente et l'état de la fortune le 1er janvier de l'année pour laquelle la prestation est servie; peut également entrer en considération comme période de calcul celle sur laquelle se fonde la dernière taxation fiscale (art. 23 al. 1 et 2 OPC- AVS/AI et art. 9 al. 1 LPCC).</w:t>
      </w:r>
    </w:p>
    <w:p>
      <w:r>
        <w:rPr>
          <w:b/>
        </w:rPr>
        <w:t>E. 7</w:t>
      </w:r>
    </w:p>
    <w:p>
      <w:r>
        <w:t>Par dessaisissement, il faut entendre, en particulier, la renonciation à des éléments de revenu ou de fortune sans obligation juridique ni contre-prestation équivalente (ATF 123 V 35 consid. 1; ATF 121 V 204 consid. 4a). Pour vérifier s'il y a contre- prestation équivalente et pour fixer la valeur d'un éventuel dessaisissement, il faut comparer la prestation et la contre-prestation à leurs valeurs respectives au moment de ce dessaisissement (ATF 120 V 182 consid. 4b; arrêt du Tribunal fédéral 9C_67/2011 du 29 août 2011 consid. 5.1).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Les conditions pour la prise en compte d'un dessaisissement de fortune sont alternatives. Pour qu'un dessaisissement de fortune puisse être pris en compte dans le calcul des prestations complémentaires, la jurisprudence soumet cet acte à la condition qu'il ait été fait "sans obligation juridique", respectivement "sans avoir reçu en échange une contre-prestation équivalente". Les deux conditions précitées ne sont pas cumulatives, mais alternatives. La question de savoir si la renonciation à un élément de fortune en accomplissement d'un devoir moral constitue un dessaisissement de fortune au sens de l'art. 3c al. 1 let. g aLPC, a été laissée ouverte (ATF 131 V 329 consid. 4.2 à 4.4). Il y a lieu de prendre en compte dans le revenu déterminant tout dessaisissement sans limite de temps (Pierre FERRARI, Dessaisissement volontaire et prestations complémentaires à l'AVS/AI in RSAS 2002, p. 420). D'après la jurisprudence, à la différence de donations ou de jeux d'argent, le fait de placer son patrimoine ne saurait en soi être assimilé à un dessaisissement, puisque tout investissement comprend le risque intrinsèque de perte totale ou partielle de la</w:t>
      </w:r>
    </w:p>
    <w:p>
      <w:r>
        <w:t>A/577/2015 - 9/12 - somme investie. Le critère de distinction essentiel réside dans le degré de vraisemblance qu'une telle issue se produise. En principe, un dessaisissement ne doit être reconnu que dans la situation où l'investissement a été effectué de façon délibérée ou, à tout le moins, de manière imprudente, alors que la vraisemblance que celui-ci se solde par une perte (importante) apparaissait dès le départ si prévisible qu'un homme raisonnable n'aurait pas effectué, dans la même situation et les mêmes circonstances, un tel investissement (arrêt du Tribunal fédéral 9C_180/2010 du 15 juin 2010 consid. 5). C'est donc plus l'importance du risque pris par l'investisseur au moment d'effectuer son placement que la circonstance qu'il ait été fait sans obligation juridique ou sans contre-prestation qui détermine si un placement doit être ou non assimilé à un dessaisissement (arrêt du Tribunal fédéral 9C_507/2011 du 1er décembre 2011 consid. 5.2). Il a ainsi été jugé que le prêt d'un montant de CHF 240'000.- consenti par un assuré sans obligation juridique, sans aucune garantie et sans contre-prestation concrète apparaissait, au vu des circonstances du cas - le montant principal de CHF 185'000.- avait été remis après que le terme pour le remboursement de la première tranche du prêt était déjà échu - comme un véritable «va banque-Spiel», soit une situation où l'on joue le tout pour le tout (arrêt du Tribunal fédéral P 17/97 du 30 novembre 1998). Dans une autre affaire, le Tribunal fédéral des assurances a confirmé que le prêt consenti à une Sàrl devait être assimilé à un dessaisissement de fortune dans la mesure où, sachant que la perspective d'être remboursé était mince au vu de la situation financière de la société emprunteuse, le prêteur avait pris un risque semblable à celui que prend un amateur de jeux de hasard (arrêt du Tribunal fédéral P 16/05 du 26 avril 2006). On relèvera enfin que la jurisprudence du TFA en matière de biens dessaisis s’applique mutatis mutandis en matière de prestations complémentaires cantonales.</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9</w:t>
      </w:r>
    </w:p>
    <w:p>
      <w:r>
        <w:t>a. Dans le cas présent, l’intimé a qualifié de dessaisissement la diminution, à hauteur de CHF 1'772'781.-, de la fortune déclarée aux autorités fiscales par la recourante entre 2012 et 2013, ce que cette dernière conteste, en invoquant que cette diminution résulte d’une infraction pénale. L’intimé lui rétorque que le dépôt d’une plainte pénale ne suffit pas à rendre vraisemblable que sa diminution de fortune soit due à des actes délictueux plutôt qu’à des donations.</w:t>
      </w:r>
    </w:p>
    <w:p>
      <w:r>
        <w:t>A/577/2015 - 10/12 - b. La recourante invoque une jurisprudence du Tribunal fédéral selon laquelle il est propre à la diminution de patrimoine résultant d’une escroquerie que la victime de l’infraction n’est pas consciente de l’ampleur du risque lié à son investissement ou qu’elle a été astucieusement trompée à ce sujet (cf. art. 146 CP). Il est donc primordial, pour clarifier la question d’un éventuel dessaisissement, de déterminer si la diminution de fortune a été provoquée par une infraction pénale. L’ouverture et la mise en œuvre d’une procédure pénale sont importantes à cet égard (arrêt du Tribunal fédéral 8C_567/2007 du 2 juillet 2008 consid. 6.5). c. En l’espèce, il ressort de la plainte pénale versée au dossier que l’assurée et sa sœur ont investi dès juin 2007, sur la base de contrats conclus avec la société G______ SA, des montants de CHF 1'600'000.– et EUR 845'137.70 dans un fonds d’investissement I______, lequel devait lui-même investir 80% des sommes versées dans un placement « garanti » auprès du groupe H______. G______ SA leur a régulièrement communiqué des décomptes attestant de la valeur de leur investissement, censée s’élever à CHF 3'529'035.40 à fin 2012. En outre, elles ont perçu divers montants à titre d’intérêts dès 2008, lesquels étaient toutefois inférieurs aux sommes convenues et n’ont été versés qu’à la suite de rappels. Dès janvier 2013, elles ont sollicité en vain de G______ SA le retrait des montants investis, suite à quoi la faillite de cette société a été prononcée en juillet 2013. Lorsqu’elles ont à nouveau tenté de récupérer leurs investissements par l’intermédiaire d’une avocate, M. F______, ex-administrateur de G______ SA leur a répondu que leurs parts avaient été vendues en juillet 2013 mais étaient en attente sur un compte du groupe H______. Par la suite, il leur a expliqué que la somme due leur serait versée sur un compte à Dubaï - versement qui n’est jamais intervenu - puis enfin, que le paiement était bloqué en raison de vérifications par le service de compliance du groupe H______. d. Contrairement à ce que laisse entendre l’intimé, il n’est pas démontré ni même rendu vraisemblable que la recourante ait consenti des donations à hauteur de CHF 1'772'781.-. Il résulte de ses déclarations convaincantes qu’elle a, conjointement avec sa sœur, mandaté M. D______ afin que celui-ci leur propose un placement stable dont le rendement financerait leurs dépenses courantes. Leur intention n’était donc pas de disposer de leur fortune sans contrepartie financière mais, au contraire, de l’investir dans le but de vivre du rendement de leur placement. e. Compte tenu des faits exposés en détails dans la plainte pénale, il paraît vraisemblable que la diminution de fortune constatée par le SPC résulte, ainsi que la recourante et sa sœur l’allèguent, d’une infraction. On relèvera à cet égard que les réponses fluctuantes données par l’un des prévenus pour justifier l’impossibilité de rembourser les sommes versées laissent penser que les investissements consentis n’ont pas été placés auprès du groupe H______, comme le prévoyaient les contrats, mais utilisés à d’autres fins.</w:t>
      </w:r>
    </w:p>
    <w:p>
      <w:r>
        <w:t>A/577/2015 - 11/12 - Quoi qu’il en soit, comme la recourante et sa sœur ont réalisé leurs investissements en suivant les conseils d’un professionnel, qu’elles avaient déjà fait appel à lui pour un premier placement fructueux, et que les sommes versées étaient censées être investies à 80% dans un placement garanti, elles étaient légitimées à penser que leurs investissements n’étaient pas particulièrement risqués. Le fait qu’une procédure pénale impliquant plus d’une trentaine de plaignants soit en cours suggère au demeurant que les prévenus ont agi avec un certain professionnalisme. Dans ces conditions, force est d’admettre que la perte des montants investis ne serait pas apparue d’emblée prévisible pour toute personne raisonnable placée dans les mêmes circonstances, ce qui exclut, selon la jurisprudence, la prise en compte d’un dessaisissement. Partant, c’est à tort que l’intimé a qualifié de dessaisissement la diminution de fortune intervenue entre 2012 et 2013.</w:t>
      </w:r>
    </w:p>
    <w:p>
      <w:r>
        <w:rPr>
          <w:b/>
        </w:rPr>
        <w:t>E. 10</w:t>
      </w:r>
    </w:p>
    <w:p>
      <w:r>
        <w:t>Par ailleurs, la Chambre de céans constate que la recourante et sa sœur étaient, à tout le moins jusqu’en juin 2007, copropriétaires d’une villa en France, à Vence, et titulaires de trois assurances-vie, ainsi que d’un compte auprès de la banque Lombard Odier (plainte pénale du 10 avril 2014, p. 2). Toutefois, le dossier ne permet pas de déterminer si les intéressées sont aujourd’hui encore propriétaires de ces biens, ce qui pourrait, cas échéant, avoir une incidence sur le calcul des prestations complémentaires. Il appartiendra par conséquent à l’intimé de procéder aux clarifications qui s’imposent.</w:t>
      </w:r>
    </w:p>
    <w:p>
      <w:r>
        <w:rPr>
          <w:b/>
        </w:rPr>
        <w:t>E. 11</w:t>
      </w:r>
    </w:p>
    <w:p>
      <w:r>
        <w:t>Enfin, la recourante expose que son épargne a notablement diminué et sollicite l’actualisation de sa fortune, relevés bancaires d’août 2014 à l’appui. La Chambre de céans constate que l’intimé n’a pas encore statué sur la question de l’épargne de la recourante pour la période dès le 1er août 2014, ses derniers plans de calcul se rapportant à la période dès le 1er juillet 2014. Dans la mesure où il n’appartient pas au juge de se prononcer sur des points qui n’ont pas été préalablement été tranchés par l’autorité administrative (cf. consid. 5b), l’intimé est invité à rendre, s’agissant du droit aux prestations complémentaires et au subside pour la période dès le 1er août 2014, une nouvelle décision susceptible d’être contestée par voie d’opposition.</w:t>
      </w:r>
    </w:p>
    <w:p>
      <w:r>
        <w:rPr>
          <w:b/>
        </w:rPr>
        <w:t>E. 12</w:t>
      </w:r>
    </w:p>
    <w:p>
      <w:r>
        <w:t>Pour les motifs qui précèdent, le recours est partiellement admis, la décision sur opposition du 8 décembre 2014 annulée et le dossier renvoyé à l’intimé pour instruction complémentaire puis nouveau calcul des prestations dues dès le 1er avril 2014, sans tenir compte d’un dessaisissement. Pour la période dès le 1er août 2014, l’intimé est invité à rendre une nouvelle décision susceptible d’être attaquée par voie d’opposition. Pour le surplus, la procédure est gratuite (art. 61 let. a LPGA).</w:t>
      </w:r>
    </w:p>
    <w:p>
      <w:r>
        <w:t>A/577/2015 - 12/12 -</w:t>
      </w:r>
    </w:p>
    <w:p>
      <w:r>
        <w:t>PAR CES MOTIFS, LA CHAMBRE DES ASSURANCES SOCIALES : Statuant A la forme : 1. Déclare le recours recevable. Au fond : 2. L’admet partiellement au sens des considérants. 3. Annule la décision du 17 juillet 2014 et la décision sur opposition du 8 décembre 2014. 4. Renvoie le dossier à l’intimé pour instruction complémentaire et nouvelle décision au sens des considérants.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SÉCHAUD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