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ATAS/584/2012 vom 21. Oktober 2011</w:t>
      </w:r>
    </w:p>
    <w:p>
      <w:r>
        <w:t>GE Cour de justice, 2011-10-21, FR</w:t>
      </w:r>
    </w:p>
    <w:p>
      <w:r>
        <w:rPr>
          <w:b/>
        </w:rPr>
        <w:t xml:space="preserve">Quelle: </w:t>
      </w:r>
      <w:r>
        <w:t>https://mcp.opencaselaw.ch/entscheid/ge_gerichte_ATAS_584_2012</w:t>
      </w:r>
    </w:p>
    <w:p>
      <w:r>
        <w:t>FR: GE_GERICHTE ATAS/584/2012 du 21 octobre 2011</w:t>
      </w:r>
    </w:p>
    <w:p>
      <w:r>
        <w:t>IT: GE_GERICHTE ATAS/584/2012 del 21 ottobre 2011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maladie, dont souffre l'expertisé, affecte-t-elle ses organes internes? Si oui, depuis quand et dans quelle mesure ?</w:t>
      </w:r>
    </w:p>
    <w:p>
      <w:r>
        <w:rPr>
          <w:b/>
        </w:rPr>
        <w:t>E. 3</w:t>
      </w:r>
    </w:p>
    <w:p>
      <w:r>
        <w:t>L’assuré suit-il un traitement adéquat ? Quelle est sa compliance?</w:t>
      </w:r>
    </w:p>
    <w:p>
      <w:r>
        <w:rPr>
          <w:b/>
        </w:rPr>
        <w:t>E. 4</w:t>
      </w:r>
    </w:p>
    <w:p>
      <w:r>
        <w:t>Y a-t-il une amélioration possible à court/moyen terme ?</w:t>
      </w:r>
    </w:p>
    <w:p>
      <w:r>
        <w:rPr>
          <w:b/>
        </w:rPr>
        <w:t>E. 5</w:t>
      </w:r>
    </w:p>
    <w:p>
      <w:r>
        <w:t>Quelles sont les limitations fonctionnelles engendrées par l'affection somatique ?</w:t>
      </w:r>
    </w:p>
    <w:p>
      <w:r>
        <w:rPr>
          <w:b/>
        </w:rPr>
        <w:t>E. 6</w:t>
      </w:r>
    </w:p>
    <w:p>
      <w:r>
        <w:t>Quelle est la capacité de travail de l’assuré (en pour-cent) dans une activité tenant compte des limitations fonctionnelles ?</w:t>
      </w:r>
    </w:p>
    <w:p>
      <w:r>
        <w:t>- 5/6-</w:t>
      </w:r>
    </w:p>
    <w:p>
      <w:r>
        <w:t>A/3920/2011</w:t>
      </w:r>
    </w:p>
    <w:p>
      <w:r>
        <w:rPr>
          <w:b/>
        </w:rPr>
        <w:t>E. 7</w:t>
      </w:r>
    </w:p>
    <w:p>
      <w:r>
        <w:t>Depuis quand la maladie influence-t-elle sur la capacité de travail? Y a-t-il des fluctuations dans cette dernière?</w:t>
      </w:r>
    </w:p>
    <w:p>
      <w:r>
        <w:rPr>
          <w:b/>
        </w:rPr>
        <w:t>E. 8</w:t>
      </w:r>
    </w:p>
    <w:p>
      <w:r>
        <w:t>Partagez-vous les avis, relatifs aux affections somatiques de l'expertisé, des Drs E_________ et F_________ exprimés dans leur rapport du 26 juillet 2011, ainsi que celui du Dr C_________, exprimé le 23 janvier 2012?</w:t>
      </w:r>
    </w:p>
    <w:p>
      <w:r>
        <w:rPr>
          <w:b/>
        </w:rPr>
        <w:t>E. 9</w:t>
      </w:r>
    </w:p>
    <w:p>
      <w:r>
        <w:t>Des mesures de réadaptation professionnelle sont-elles envisageables ?</w:t>
      </w:r>
    </w:p>
    <w:p>
      <w:r>
        <w:rPr>
          <w:b/>
        </w:rPr>
        <w:t>E. 10</w:t>
      </w:r>
    </w:p>
    <w:p>
      <w:r>
        <w:t>Compte tenu des diagnostics somatiques et psychiques, une activité lucrative adaptée est-elle raisonnablement exigible de la part de l’assuré ? Si oui, depuis quand et à quel taux? Y a-t-il une diminution de rendement ?</w:t>
      </w:r>
    </w:p>
    <w:p>
      <w:r>
        <w:rPr>
          <w:b/>
        </w:rPr>
        <w:t>E. 11</w:t>
      </w:r>
    </w:p>
    <w:p>
      <w:r>
        <w:t>Des mesures de réadaptation professionnelles sont-elles envisageables ? Si non, pourquoi ?</w:t>
      </w:r>
    </w:p>
    <w:p>
      <w:r>
        <w:t>- 6/6-</w:t>
      </w:r>
    </w:p>
    <w:p>
      <w:r>
        <w:t>A/3920/2011 3. Commet à ces fins la Dresse A_________, rhumatologue, et le Dr B_________, psychiatre; 4. Invite les experts à faire une appréciation consensuelle du cas s’agissant de toutes les problématiques ayant des interférences entre-elles, notamment l’appréciation de la capacité de travail résiduelle ; 5. Invite les experts à déposer à leur meilleure convenance un rapport en trois exemplaires à la Cour de céans ; 6. Réserve le fond.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Florence KRAUSKOPF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