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ATAS/583/2023 vom 3. August 2023</w:t>
      </w:r>
    </w:p>
    <w:p>
      <w:r>
        <w:t>GE Cour de justice, 2023-08-03, FR</w:t>
      </w:r>
    </w:p>
    <w:p>
      <w:r>
        <w:rPr>
          <w:b/>
        </w:rPr>
        <w:t xml:space="preserve">Quelle: </w:t>
      </w:r>
      <w:r>
        <w:t>https://mcp.opencaselaw.ch/entscheid/ge_gerichte_ATAS_583_2023</w:t>
      </w:r>
    </w:p>
    <w:p>
      <w:r>
        <w:t>FR: GE_GERICHTE ATAS/583/2023 du 3 août 2023</w:t>
      </w:r>
    </w:p>
    <w:p>
      <w:r>
        <w:t>IT: GE_GERICHTE ATAS/583/2023 del 3 agosto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A/3413/2022 - 8/15 -</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6.3</w:t>
      </w:r>
    </w:p>
    <w:p>
      <w:r>
        <w:t>Sans remettre en cause le principe de la libre appréciation des preuves, le Tribunal fédéral a posé des lignes directrices en ce qui concerne la manière d’apprécier certains types d’expertises ou de rapports médicaux (ATF 125 V 351 consid. 3b).</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w:t>
      </w:r>
    </w:p>
    <w:p>
      <w:r>
        <w:t>A/3413/2022 - 9/15 -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6.3.3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w:t>
      </w:r>
    </w:p>
    <w:p>
      <w:r>
        <w:rPr>
          <w:b/>
        </w:rPr>
        <w:t>E. 8</w:t>
      </w:r>
    </w:p>
    <w:p>
      <w:r>
        <w:t>A/3413/2022 - 10/15 -</w:t>
      </w:r>
    </w:p>
    <w:p>
      <w:r>
        <w:rPr>
          <w:b/>
        </w:rPr>
        <w:t>E. 8.1</w:t>
      </w:r>
    </w:p>
    <w:p>
      <w:r>
        <w:t>En l’espèce, pour apprécier la capacité de travail du recourant, la décision (initiale) du 18 janvier 2022 se fonde sur les conclusions du Dr E______, prises à l’issue de l’examen du 31 octobre 2017 et complétées le 8 décembre 2021, aux termes desquelles la fracture du scaphoïde droit causée par l’accident du 13 décembre 2014 – et traitée successivement par cure de pseudarthrose en 2015 et la pose d’une prothèse en 2016 – ne permet plus au recourant d’exercer son activité habituelle de postier, mais ne l’empêche pas d’exercer une activité à plein temps du moment que celle-ci exclut, outre le port de charges lourdes (pas de port répété de charges de plus de 5 kg, pas de port occasionnel de charges de plus de 10 kg), les manœuvres répétées de la main droite pour des charges même légères, de même que les activités fines nécessitant de la force. À la suite de l’opposition à cette décision, le conseil du recourant a confié au Dr F______ la réalisation d’une expertise privée, l’objectif étant « d’établir les limitations fonctionnelles permanentes pouvant affecter le rendement [du recourant], toutes activités confondues, dans le cadre d’une contestation de la décision de [l’intimée] du 1er novembre 2017 (recte : 18 janvier 2022) » (cf. rapport d’expertise privée, p. 1). Au terme de son analyse, l’expert privé – qui avait à disposition le projet de décision de l’OAI du 7 mars 2022, le rapport d’examen final du Dr E______ du 8 novembre 2017 et le bilan ergothérapeutique de Mme G______ – considère qu’il n’existe qu’un « seul point discutable » (cf. rapport d’expertise privée, p. 4) dans l’appréciation du Dr E______, à savoir l’évaluation du taux d’IPAI à 10%. Pour le reste, il relève que les plaintes du recourant – qui concernent de discrets troubles neurovégétatifs de la main droite (transpiration excessive, sensation de froid), un manque d’endurance et une simple crainte d’un rendement diminué dans le futur travail d’opérateur horloger – ne sont que partiellement objectivables, étant donné que la sensibilité tactile est bien préservée et que les troubles neurovégétatifs évoqués n’ont pu être observés ni par Mme G______ ni par l’expert privé lui-même, même si leur survenance est qualifiée de possible. Aussi l’expert privé conclut-il, dans le cadre de son appréciation de l’IPAI, qu’il évalue à 15%, que « la baisse de rendement est inclu[s]e dans cette atteinte à l’intégrité, résultant d’une arthrose et de troubles fonctionnels consécutifs ». Pour ce qui a trait à ces troubles, il ressort de l’examen clinique du Dr F______ qu’ils concernent la mobilité du poignet droit (limitée en flexion et extension mais fonctionnelle pour les activités de la vie quotidienne) et la force de serrage de la main droite qui, bien que quasi équivalente à celle de la main gauche, révèle une endurance un peu diminuée.</w:t>
      </w:r>
    </w:p>
    <w:p>
      <w:r>
        <w:rPr>
          <w:b/>
        </w:rPr>
        <w:t>E. 8.2</w:t>
      </w:r>
    </w:p>
    <w:p>
      <w:r>
        <w:t>Le recourant soutient, en substance, qu’il présente une diminution de rendement, et qu’en vue de dissiper le doute entourant la « baisse de rendement […] inclu[s]e dans cette atteinte à l’intégrité » qui est attestée par l’expert privé F______, il serait nécessaire d’interpeller ce dernier.</w:t>
      </w:r>
    </w:p>
    <w:p>
      <w:r>
        <w:t>A/3413/2022 - 11/15 - La chambre de céans ne partage pas cet avis. Il ne ressort en effet pas du rapport d’expertise privée versé au dossier que le Dr F______ serait en désaccord avec le Dr E______ sur un point autre que l’appréciation de l’IPAI – qui n’est plus litigieuse. Pour le reste, il est vrai que même si l’évocation d’une baisse de rendement qui serait « inclu[s]e » dans l’IPAI prête à confusion, il n’en reste pas moins que la mission d’expertise privée, qui est énoncée d’entrée de cause par l’expert privé, consiste à « établir les limitations fonctionnelles permanentes pouvant affecter le rendement ». À cet égard, le Dr F______ indique tout d’abord que les plaintes du recourant – qui concernent notamment la crainte d’un rendement diminué dans son futur travail d’opérateur horloger – ne sont que partiellement objectivables, avant de conclure que la baisse de rendement est cantonnée à la question de l’IPAI (et ne concerne donc pas la capacité de travail). Sachant par ailleurs que le Dr F______ s’inscrit en faux contre la première évaluation de l’IPAI par le Dr E______ (10% pour une « arthrose radio-carpienne avec endoprothèse et bon résultat » ; cf. appréciation du 8 novembre 2017 du Dr E______) et qu’il souligne qu’il existe en effet des troubles fonctionnels consécutifs à l’arthrose, les réponses de l’expert privé à la question énoncée dans la mission d’expertise privée (existe-t-il une diminution de rendement due aux limitations fonctionnelles ?) indiquent clairement que « la baisse de rendement » n’a pas de portée distincte des troubles fonctionnels qu’il relate. Au demeurant, ces troubles ont également été constatés par le Dr E______. Dans le rapport consécutif à son examen final du 31 octobre 2017, ce médecin relate en effet également une limitation de l’ordre de 50% de la mobilité du poignet droit en flexion-extension, de même qu’une force de préhension de la main moins prononcée du côté droit que du côté gauche (cf. rapport du 8 novembre 2017, p. 4). Il résulte des éléments qui précèdent que le Dr F______ ne contredit pas le Dr E______ pour ce qui a trait à l’appréciation de la capacité de travail du recourant dans une activité adaptée. En conséquence, la chambre de céans se dispensera, par appréciation anticipée des preuves (cf. ci-dessus : consid. 7.2), d’interroger cet expert privé et s’en tiendra à l’appréciation de la capacité de travail résultant du rapport du 8 novembre 2017 du Dr E______, à savoir que le recourant présente une totale incapacité de travail dans son activité antérieure de postier, mais qu’il lui est possible d’exercer à plein temps, sans diminution de rendement, une profession adaptée aux limitations fonctionnelles décrites dans ce même rapport et celui du 8 décembre 2021, ce qui est le cas de l’activité d’opérateur en horlogerie dans laquelle le recourant a été réadapté avec succès.</w:t>
      </w:r>
    </w:p>
    <w:p>
      <w:r>
        <w:rPr>
          <w:b/>
        </w:rPr>
        <w:t>E. 9</w:t>
      </w:r>
    </w:p>
    <w:p>
      <w:r>
        <w:t>Il reste à examiner le degré d’invalidité.</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A/3413/2022 - 12/15 -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9.2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 135 V 297 consid. 5.1 ; 134 V 322 consid. 4.1).</w:t>
      </w:r>
    </w:p>
    <w:p>
      <w:r>
        <w:rPr>
          <w:b/>
        </w:rPr>
        <w:t>E. 9.4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 ATF 143 V 295 consid. 2.2).</w:t>
      </w:r>
    </w:p>
    <w:p>
      <w:r>
        <w:rPr>
          <w:b/>
        </w:rPr>
        <w:t>E. 9.4.1</w:t>
      </w:r>
    </w:p>
    <w:p>
      <w:r>
        <w:t>Il convient de se fonder, en règle générale, sur les salaires mensuels indiqués dans la table ESS TA1, tirage « skill_level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(cf. par ex. les arrêts du Tribunal fédéral 8C_610/2017 du 3 avril 2018 et 8C_553/2016 du 1er mai 2017) ; tel est notamment le cas lorsqu’avant l’atteinte à la santé, l’assuré a travaillé dans un domaine pendant de nombreuses années et qu’une activité dans</w:t>
      </w:r>
    </w:p>
    <w:p>
      <w:r>
        <w:t>A/3413/2022 - 13/15 - un autre domaine n’entre pas en ligne de compte (arrêt du Tribunal fédéral 8C_205/2021 du 4 août 2021 consid. 3.2.1 et la référence).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w:t>
      </w:r>
    </w:p>
    <w:p>
      <w:r>
        <w:rPr>
          <w:b/>
        </w:rPr>
        <w:t>E. 9.4.2</w:t>
      </w:r>
    </w:p>
    <w:p>
      <w:r>
        <w:t>Une fois le recourant réadapté en tant qu’opérateur en horlogerie en 2021 (mais toujours sans emploi en 2022), l’intimée a fixé son degré d’invalidité à 16% sur la base du raisonnement et des calculs suivants : en tenant compte du profil d’exigibilité défini par le Dr E______, elle s’est référée, dans la décision (initiale) du 18 janvier 2022, à l’ESS 2018 et au salaire versé à un homme pour une activité de niveau 1 (tâches physiques ou manuelles simples) dans la branche économique de la ligne 26 (fabrication de produits informatiques, électroniques et optiques ; horlogerie), ce qui correspondait à un salaire mensuel de CHF 6’113.-. Après adaptation à la durée de travail hebdomadaire usuelle dans la branche (40.6 heures), le revenu avec invalidité se montait à CHF 6’204.70 (ou CHF 74’456.34 par année). L’indexation de ce revenu à 2021 révélait un revenu brut avec invalidité de CHF 75’503.-. Depuis la décision du 18 janvier 2022, l’Office fédéral de la statistique avait publié les chiffres de l’ESS 2020. Il en ressortait, par rapport à l’ESS 2018, que le salaire statistique versé à un homme dans la branche de l’horlogerie était passé de CHF 6’113.- à CHF 5’724.-. Après adaptation à la durée de travail usuelle dans la branche économique de la ligne 26 (fabrication de produits électroniques ; horlogerie) en 2021 (40.5 heures), le revenu avec invalidité se montait à CHF 5’795.55 (ou CHF 69’546.60 par année). Quant à l’indice des salaires nominaux en 2021, il était de -1%, réduisant ainsi le revenu statistique annuel à CHF 68’851.13. Après prise en compte d’un abattement de 5%, le revenu d’invalide s’élevait à CHF 65’408.58, arrondi à</w:t>
      </w:r>
    </w:p>
    <w:p>
      <w:r>
        <w:t>A/3413/2022 - 14/15 - CHF 65’409.-. En comparant ce montant au revenu sans invalidité (non contesté) de CHF 77’499.-, la perte de gain se montait à CHF 12’090.- et le taux d’invalidité à 16% (soit 15.60%, arrondi à 16%).</w:t>
      </w:r>
    </w:p>
    <w:p>
      <w:r>
        <w:rPr>
          <w:b/>
        </w:rPr>
        <w:t>E. 9.4.3</w:t>
      </w:r>
    </w:p>
    <w:p>
      <w:r>
        <w:t>Sans contester ces bases de calcul, le recourant soutient que l’abattement accordé sur son revenu d’invalide ne devrait pas être de 5%, mais de 10%, compte tenu de la diminution de rendement évoquée par le Dr F______. Ce raisonnement ne saurait être suivi. Il ressort en effet de l’analyse effectuée ci-dessus (consid. 8.2) que la diminution de rendement évoquée par cet expert n’a pas de portée propre par rapport aux troubles fonctionnels relatés, et dont l’intimée a précisément tenu compte par le biais d’un abattement de 5%. Celui-ci n’apparaît pas critiquable dans la mesure où les limitations fonctionnelles en cause ne restreignent pas de manière significative les activités légères, en tout cas pas au point de justifier un abattement supérieur à celui retenu. Pour le surplus, c’est à juste titre que d’autres facteurs d’abattement ne sont pas invoqués par le recourant, ceux-ci n’entrant pas en considération. Partant, la décision litigieuse ne prête pas le flanc à la critique en tant qu’elle accorde un abattement de 5% sur le revenu d’invalide. S’agissant des autres aspects du calcul, ils n’apparaissent pas contestables non plus à une exception près (cf. dossier intimée, doc. 253, p. 20) : s’il est exact qu’en 2021, l’indice des salaires nominaux a marqué un recul par rapport à 2020, celui-ci n’était pas de -1% mais de -0.8% dans la branche C-10-33 (industries manufacturières) selon le tableau T1.20 (indice des salaires nominaux, 2020- 2021) publié le 1er juin 2022 (et qui était donc disponible au moment de la décision litigieuse). En revanche, et toujours selon le tableau T1.20 précité, dans la branche CI-CJ 26-27 (fabrication de produits informatiques et électroniques, d’équipements électriques, optique, horlogerie), qui est plus spécifique au revenu avec invalidité sélectionné (ligne 26), le recul de l’indice des salaires nominaux était même de -1.1% par rapport à 2020. La question de savoir s’il y a lieu d’appliquer ce dernier pourcentage plutôt que celui appliqué par l’intimée (-1%) souffre néanmoins de rester indécise dans la mesure où le degré d’invalidité ne s’en trouverait pas modifié.</w:t>
      </w:r>
    </w:p>
    <w:p>
      <w:r>
        <w:rPr>
          <w:b/>
        </w:rPr>
        <w:t>E. 10</w:t>
      </w:r>
    </w:p>
    <w:p>
      <w:r>
        <w:t>Il s’ensuit que le recours doit être rejeté.</w:t>
      </w:r>
    </w:p>
    <w:p>
      <w:r>
        <w:rPr>
          <w:b/>
        </w:rPr>
        <w:t>E. 11</w:t>
      </w:r>
    </w:p>
    <w:p>
      <w:r>
        <w:t>Pour le surplus, la procédure est gratuite (art. 61 let. fbis LPGA a contrario).</w:t>
      </w:r>
    </w:p>
    <w:p>
      <w:r>
        <w:t>*****</w:t>
      </w:r>
    </w:p>
    <w:p>
      <w:r>
        <w:t>A/3413/2022 - 15/15 -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