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ATAS/583/2020 vom 13. Juli 2020</w:t>
      </w:r>
    </w:p>
    <w:p>
      <w:r>
        <w:t>GE Cour de justice, 2020-07-13, FR</w:t>
      </w:r>
    </w:p>
    <w:p>
      <w:r>
        <w:rPr>
          <w:b/>
        </w:rPr>
        <w:t xml:space="preserve">Quelle: </w:t>
      </w:r>
      <w:r>
        <w:t>https://mcp.opencaselaw.ch/entscheid/ge_gerichte_ATAS_583_2020</w:t>
      </w:r>
    </w:p>
    <w:p>
      <w:r>
        <w:t>FR: GE_GERICHTE ATAS/583/2020 du 13 juillet 2020</w:t>
      </w:r>
    </w:p>
    <w:p>
      <w:r>
        <w:t>IT: GE_GERICHTE ATAS/583/2020 del 13 luglio 2020</w:t>
      </w:r>
    </w:p>
    <w:p>
      <w:pPr>
        <w:pStyle w:val="Heading2"/>
      </w:pPr>
      <w:r>
        <w:t>Erwägungen</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A/2618/2019 - 9/21 - celle-ci n’est pas objectivement surmontable (al. 2 en vigueur dès le 1er janvier 2008).</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w:t>
      </w:r>
    </w:p>
    <w:p>
      <w:r>
        <w:t>A/2618/2019 - 10/21 -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du 17 janvier 1961 sur l’assurance-invalidité du 17 janvier 1961 -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A/2618/2019 - 11/21 -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A/2618/2019 - 12/21 -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13</w:t>
      </w:r>
    </w:p>
    <w:p>
      <w:r>
        <w:t>En l'espèce, la recourante reproche à l'intimé une instruction médicale insuffisante, et sollicite préalablement la mise en place d'une expertise médicale comportant les spécialités de rhumatologie et de psychiatrie. L'intimé observe à cet égard que pour déterminer la capacité fonctionnelle de la recourante, une expertise médicale comportant un volet de médecine interne, de psychiatrie et de rhumatologie avait été effectuée à la CRR (rapport d'expertise du 30 juillet 2017). Il y a donc lieu de déterminer dans un premier temps si l'on peut accorder une pleine valeur probante à ce rapport d'expertise pluridisciplinaire, ceci au vu des principes jurisprudentiels rappelés ci-dessus.</w:t>
      </w:r>
    </w:p>
    <w:p>
      <w:r>
        <w:t>A/2618/2019 - 13/21 - La chambre de céans rappelle en premier lieu que l'OAI avait mis en place cette expertise via la plateforme informatique SuisseMED@P désignant de manière aléatoire les centres d'expertises liés à l'office fédéral des assurances sociales par une convention (art. 72bis RAI). À l'instar de toute expertise médicale, ces expertises pluridisciplinaires doivent être confiées à des médecins indépendants, établies par des spécialistes reconnus, sur la base d'observations approfondies et d'investigations complètes, ainsi qu'en pleine connaissance du dossier, et il faut que les experts aboutissent à des résultats convaincants. Tel a bien été le cas en l'espèce. Tous les aspects de l'état de santé de l'assurée ont été examinés par les spécialistes reconnus qui ont été désignés soit : le docteur G______, spécialiste FMH en médecine interne générale (expert principal), la doctoresse H______, spécialiste FMH en médecine interne générale et en rhumatologie, et le docteur I______, spécialiste FMH en psychiatrie et psychothérapie. Cette expertise (après consilium), et les examens spécialisés (médecine interne, rhumatologie et psychiatrie) sont tous basés sur une pleine connaissance du dossier, une anamnèse complète, prennent en compte les plaintes de l'assurée, les examinateurs ayant de plus recueilli tous éléments complémentaires qui leur paraissaient nécessaires. Ils ont procédé personnellement à l'examen clinique de l'expertisée, dans le cadre duquel ils ont relevé les constatations objectives ressortant de leur examen; ils se sont prononcés sur les diagnostics qu'ils retenaient ou ne retenaient pas, au terme d'une discussion motivée aboutissant à des conclusions convaincantes, exemptes de contradictions. Ils ont en outre discuté du cas dans le cadre d'un consilium (entretien de synthèse) leur permettant ainsi, de répondre à toutes les questions posées dans le cadre de leur mission (ATF 134 V 231 consid. 5.1; ATF 133 V 450 consid. 11.1.3; ATF 125 V 351 consid. 3). a. Au final, un seul diagnostic ayant une incidence sur la capacité de travail a été retenu, soit dans le domaine rhumatologique, celui de lombalgies non spécifiques (M54.5); les autres diagnostics retenus, sans effet sur la capacité de travail, relevant notamment des aspects psychiatriques et des autres volets de médecine interne (hors rhumatologique). L'experte rhumatologue a relevé en effet que ce sont les lombalgies qui n'avaient plus permis à l'assurée de poursuivre son activité de femme de ménage. Ses douleurs, décrites comme permanentes et aggravées par les efforts, la position statique prolongée, n'ont pas d'irradiation aux membres inférieurs. L'experte indique que lors de l'examen, l'assurée a également décrit des talalgies plantaires récurrentes, de survenue récente, associées à des fourmillements; elle décrit finalement aussi des douleurs plus diffuses, thoraciques ou abdominales, aggravées par le stress. L'experte relève toutefois que pendant la durée de l'examen, il n'a été observé aucune expression douloureuse à la position assise prolongée et une mobilité spontanée fluide. Elle retient qu'en dépit du parasitage de l'examen et de la présence de signes de Waddell, tous présents pour la lombalgie, l'examen ne relève qu'une discrète limitation de la mobilité du rachis lombaire. Au final, l'experte ne retient comme diagnostic avec effet sur la capacité</w:t>
      </w:r>
    </w:p>
    <w:p>
      <w:r>
        <w:t>A/2618/2019 - 14/21 - de travail que des lombalgies non spécifiques qui justifieraient une baisse de rendement de 30 % dans l'activité (habituelle) de femme de ménage. En revanche, dans une activité (adaptée) n'imposant pas le port de plus de 10 kg, les positions statiques prolongées au-delà d'une heure, et les mouvements en porte-à-faux du rachis, l'exigibilité - partant la CT - serait complète. Ces conclusions sont claires, motivées, exemptes de toute contradiction. Du reste ni les médecins traitants ni la recourante elle-même, dans le cadre du recours, n'ont d'une quelconque manière contesté l'appréciation de la Dresse H______. La chambre de céans estime donc que ce rapport est pleinement probant, aucun indice ressortant du dossier, de l'argumentation de la recourante ou des documents médicaux produits sur recours, ne permettant de retenir que l'experte aurait omis de tenir compte d'un élément important susceptible de faire naître le moindre doute sur sa fiabilité. Certes, la recourante produit à l'appui de sa réplique un rapport médical de son médecin traitant, qui évoque surtout sous forme de liste, des antécédents médicaux : mais ceux-ci, tous connus et pris en compte par les experts de la CRR, n'ont pas de conséquences actuelles sur la CT, ce que le médecin traitant ne prétend d'ailleurs pas. Il retient en revanche le diagnostic de fibromyalgie, à la suite de ce diagnostic posé par la rhumatologue à qui le médecin traitant a adressé sa patiente pour une consultation spécialisée. Il convient à cet égard de relever que le bref rapport adressé par la spécialiste au médecin traitant ne saurait se voir reconnaître une pleine valeur probante. Elle indique avoir retenu le diagnostic de fibromyalgie, en se basant sur la clinique et sur les examens complémentaires, mais elle ne donne pas de motif et justification complémentaire pour retenir ce diagnostic plutôt que celui retenu par l'experte de la CRR, d'état douloureux chronique diffus (R52.2) retenu par la Dresse H______. La Dresse E______ ne fait d'ailleurs pas la moindre allusion à l'expertise en cause. Elle indique bien plutôt avoir expliqué le diagnostic à la patiente, mais n'avoir pas introduit pour l'instant de traitement médicamenteux, dans la mesure où l'intéressée se disait mieux, uniquement avec un traitement associant physiothérapie et hydrothérapie ainsi que l'application de chaleur au niveau du rachis. Ainsi, ce diagnostic (fibromyalgie), formellement nouveau, dans la mesure où il n'avait pas été évoqué avant la décision entreprise, ne paraît en tout cas pas constituer une aggravation de l'état de santé de la patiente, par rapport à l'époque de l'expertise (2017), voire au moment où a été rendue la décision litigieuse - dès lors que la recourante a elle-même indiqué à la rhumatologue se sentir soulagée grâce à la physio/hydrothérapie et l'application de chaleur (rachis). Ainsi cette problématique douloureuse était déjà connue de l'expert, et le diagnostic non incapacitant retenu à l'époque était une autre manière de décrire les douleurs chroniques non objectivables jugées non incapacitantes. À supposer au demeurant que l'on doive tenir compte du diagnostic de fibromyalgie, cela constituerait un élément nouveau, postérieur à la décision entreprise, et devant conduire au dépôt d'une nouvelle demande de prestations auprès de l'OAI. b. Quant à l'aspect psychiatrique, la chambre de céans constate que sous cet angle l'expertise de la CRR, et en particulier l'examen personnel auquel a procédé le</w:t>
      </w:r>
    </w:p>
    <w:p>
      <w:r>
        <w:t>A/2618/2019 - 15/21 - Dr I______ sont pleinement convaincants : le rapport d'expertise, - après consilium - (page 12 2ème paragraphe et suivants) relève que l'expert a longuement repris l'anamnèse personnelle, - notamment par rapport à la problématique du stress post- traumatique évoquée par la recourante et son médecin traitant - l'expert ayant retenu le contexte de la guerre civile et de la vendetta familiale à laquelle l'expertisée a été confrontée : il évoque notamment le fait que l'assurée a assisté au meurtre de son oncle, et à des scènes de guerre, que sa vie en Suisse a ensuite été marquée par des souffrances successives en particulier avec ses maris successifs qui se sont montrés physiquement violents. Mais il retient qu'elle a pu assumer la charge de trois de ses enfants, seule, que les plaintes douloureuses ne sont pas au premier plan et que l'état douloureux chronique diffus, - dont il était question ci-dessus -, associé à une attitude démonstrative, ne trouve pas de justification psychiatrique. L'expert retient encore que l'assurée a relaté ses rêves nocturnes, qui sont le symptôme de la persistance d'un état de stress post-traumatique de faible intensité, retenu comme diagnostic sans impact sur la CT. Il relève également que s'agissant de la lignée dépressive, l'assurée a connu un premier épisode probable de dépression authentique en 2003, après la séparation de son premier conjoint. Au jour de l'expertise, l'assurée se présentait toutefois comme vive, volubile, à la pensée non ralentie, qui restait structurée. Il n'y avait aucun ralentissement perceptible. L'assurée décrit sa vie quotidienne comme active. Elle conserve une vie sociale avec quelques baisses de l'humeur et crises d'angoisse occasionnelles. S'il y avait pu y avoir un épisode dépressif dans le passé, il ne persistait aujourd'hui qu'un trouble anxieux et dépressif réactionnel, largement en rémission. L'expert psychiatre de conclure ainsi qu'il n'était donc pas retenu de pathologie grave chez cette assurée qui est tout de même forte, stable, équilibrée, capable d'assurer activement la gestion de ses enfants et de son ménage. Ses ressources de personnalité ne sont donc pas épuisées, elle dispose encore de ressources pour surmonter les difficultés de sa vie privée. Elle ne reçoit pas de traitement psychotrope. L'expert ne voyait pas vocation à un traitement antidépresseur. En revanche, il estimait que la psychothérapie en cours devait être maintenue et si possible intensifiée. Ainsi et contrairement à ce que la recourante laisse entendre dans ses écritures de recours et de réplique, il n'y a pas non plus d'éléments dans son argumentation, encore moins dans les documents médicaux produits (étant observé que son médecin traitant généraliste évoque les diagnostics psychiatriques incapacitants, mais il n'est pas un spécialiste en psychiatrie). Les circonstances ayant généré un état de stress post- traumatique, n'ont pas été ignorées par l'expert pas plus qu'aucun autre élément évoqué, sur recours, par la recourante. Ainsi, c'est à juste titre que le SMR, suivi par l'OAI dans la décision entreprise, a retenu une pleine valeur probante à l'expertise de la CRR, dont il a repris à son compte les conclusions dans la décision entreprise. c. Ainsi, pour toutes ces raisons, et conformément à la jurisprudence rappelée précédemment, il n'y a pas lieu d'envisager une nouvelle expertise, dans le cas d'espèce, la situation médicale de l'intéressée ayant été instruite à satisfaction,</w:t>
      </w:r>
    </w:p>
    <w:p>
      <w:r>
        <w:t>A/2618/2019 - 16/21 - l'expertise de la CRR et ses conclusions ayant à juste titre été prises pour base de l'évaluation ayant conduit à la décision entreprise.</w:t>
      </w:r>
    </w:p>
    <w:p>
      <w:r>
        <w:rPr>
          <w:b/>
        </w:rPr>
        <w:t>E. 14</w:t>
      </w:r>
    </w:p>
    <w:p>
      <w:r>
        <w:t>Dans un second grief, la recourante reproche à l'intimé de ne pas préciser, dans la décision entreprise, comment il a calculé le revenu sans atteinte à la santé ni celui avec atteinte à la santé, sans compter qu'il n'indique pas quel travail elle pourrait exercer, alors qu'elle n'a jamais exercé d'activité professionnelle; le revenu qu'on lui attribuerait serait purement hypothétique. On rappellera qu'à l'issue d'un précédent recours, la chambre de céans avait, par arrêt du 9 juillet 2018 (ATAS/634/2018), annulé la décision de l'OAI du 23 février 2018, et renvoyé la cause à l'intimé pour instruction complémentaire, en l'occurrence pour déterminer le statut d'assurée de la recourante et déterminer la méthode d'évaluation de l'invalidité, pour fixer le taux d'invalidité. Il convient donc d'examiner si l'intimé a respecté le cadre de l'instruction complémentaire déterminé par l'arrêt du 9 juillet 2018.</w:t>
      </w:r>
    </w:p>
    <w:p>
      <w:r>
        <w:rPr>
          <w:b/>
        </w:rPr>
        <w:t>E. 15</w:t>
      </w:r>
    </w:p>
    <w:p>
      <w:r>
        <w:t>La chambre de céans observe, tout d'abord, quand bien même cela n'est plus contesté dans le cadre du présent recours, que l'OAI avait bien instruit, conformément à ce qui était prévu dans l'arrêt de la chambre de céans, le statut d'assurée de la recourante, retenant le statut d'active, soit celui d'une personne exerçant une activité lucrative à plein temps (100 %); ceci conformément au questionnaire rempli et signé par l'assurée le 18 décembre 2018, qui a indiqué que, sans atteinte à la santé, elle exercerait toujours une activité lucrative au même taux d'occupation que celui qui était le sien dans sa dernière activité de femme de chambre, (exercée de 1998 à fin décembre 2013).</w:t>
      </w:r>
    </w:p>
    <w:p>
      <w:r>
        <w:rPr>
          <w:b/>
        </w:rPr>
        <w:t>E. 16</w:t>
      </w:r>
    </w:p>
    <w:p>
      <w:r>
        <w:t>S'agissant dès lors de la détermination du degré d'invalidité, - 2ème aspect de l'instruction complémentaire à laquelle l'OAI devait procéder -,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A/2618/2019 - 17/21 -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Force est de constater, dans le cas d'espèce, que l'intimé, comme il l'a d'ailleurs expliqué dans le projet de décision puis dans la décision entreprise du 11 juin 2019, a rigoureusement appliqué les principes définis ci-dessus. C'est en effet à juste titre que l'intimé, retenant, sur la base de l'extrait de compte individuel de la recourante (pièce 10, dossier intimé) l'absence d'une situation professionnelle stable avant l'atteinte à la santé, a pris pour base de la détermination du revenu sans invalidité, l'ESS 2014, année de la naissance du droit, et appliqué la même base de données pour déterminer le revenu avec invalidité, la recourante n'ayant en effet plus repris d'activité depuis 2014; ce qu'elle ne conteste d'ailleurs pas non plus: dans son recours, elle prétend même n'avoir « jamais exercé d'activité professionnelle » de sorte que le revenu qu'on lui attribuerait serait purement hypothétique. Quant au taux de réduction appliqué au salaire statistique dans la fixation du revenu avec invalidité, selon la jurisprudence précédemment citée,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l'espèce, le taux de 10 % sur le maximum de 25 % possible, appliqué par l'intimé à l'abattement supplémentaire en question, échappe à toute critique, et apparaît ainsi conforme au droit.</w:t>
      </w:r>
    </w:p>
    <w:p>
      <w:r>
        <w:rPr>
          <w:b/>
        </w:rPr>
        <w:t>E. 18</w:t>
      </w:r>
    </w:p>
    <w:p>
      <w:r>
        <w:t>Au vu de ce qui précède, le recours, entièrement mal fondé, sera rejeté. Bien que la procédure ne soit pas gratuite en matière d'assurance-invalidité, dans le contexte de l'objet du litige (art. 69 al. 1bis LAI), il convient de renoncer à la perception d'un émolument, la recourante étant au bénéfice de l'assistance juridique</w:t>
      </w:r>
    </w:p>
    <w:p>
      <w:r>
        <w:t>A/2618/2019 - 21/21 - (art. 13 al. 1 du règlement sur les frais, émoluments et indemnités en procédure administrative du 30 juillet 1986 [RFPA - E 5 10.03]).</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