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ATAS/583/2019 vom 26. Juni 2019</w:t>
      </w:r>
    </w:p>
    <w:p>
      <w:r>
        <w:t>GE Cour de justice, 2019-06-26, FR</w:t>
      </w:r>
    </w:p>
    <w:p>
      <w:r>
        <w:rPr>
          <w:b/>
        </w:rPr>
        <w:t xml:space="preserve">Quelle: </w:t>
      </w:r>
      <w:r>
        <w:t>https://mcp.opencaselaw.ch/entscheid/ge_gerichte_ATAS_583_2019</w:t>
      </w:r>
    </w:p>
    <w:p>
      <w:r>
        <w:t>FR: GE_GERICHTE ATAS/583/2019 du 26 juin 2019</w:t>
      </w:r>
    </w:p>
    <w:p>
      <w:r>
        <w:t>IT: GE_GERICHTE ATAS/583/2019 del 26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du recourant à une rente d'invalidité et des mesures de réadaptation.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A/329/2018 - 14/19 -</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w:t>
      </w:r>
    </w:p>
    <w:p>
      <w:r>
        <w:t>A/329/2018 - 15/19 -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A/329/2018 - 16/19 -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w:t>
      </w:r>
    </w:p>
    <w:p>
      <w:r>
        <w:t>A/329/2018 - 17/19 - 24 octobre 2003 consid. 4.3 et les références, in Plädoyer 2004/3 p. 64; arrêt du Tribunal fédéral 9C_512/2013 du 16 janvier 2014 consid. 5.2.1).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l’intimé a fondé son projet de décision de refus de prestations sur un avis du SMR du 12 décembre 2017, confirmant son avis du 6 mars 2016. Le SMR s’était fondé, dans son premier avis du 6 mars 2016, sur l’expertise réalisée par le Dr F_______, de la clinique Corela, pour retenir une incapacité totale de travailler de l’assuré dans l’activité habituelle et une pleine capacité de travail dans une activité adaptée dès janvier 2014. Dans la mesure où la force probante des expertises réalisées par les médecins de la clinique Corela est de manière générale discutable, cette expertise ne peut se voir reconnaître pleine force probante (ATF 144 V 258). Par ailleurs, la conclusion du Dr F_______ quant au début de</w:t>
      </w:r>
    </w:p>
    <w:p>
      <w:r>
        <w:t>A/329/2018 - 18/19 - l’exigibilité d’une activité adaptée est contredite par la Dresse I_______, qui a indiqué, dans un rapport du 7 septembre 2015, que la capacité de travail du recourant était de 100% dans une activité adaptée, avec reprise progressive, soit après une période de travail à 50%, dès le 14 septembre 2015. Il en résulte qu’entre janvier 2014 et septembre 2015, le recourant paraît avoir été totalement incapable de travailler, de sorte que cela pourrait lui ouvrir un droit à une rente d’invalidité dès janvier 2015, étant rappelé que le recourant a demandé les prestations de l’assurance-invalidité en juillet 2014. Pour ce premier motif, la décision querellée apparaît infondée. b. Il faut encore relever que suite au projet de décision de l’intimé du 22 août 2017, le recourant a produit un rapport médical du Dr C_______ du 12 septembre 2017 indiquant qu’il était incapable de travailler à 100%. Il a également produit un rapport établi par le service de chirurgie des HUG le 28 août 2017, dont il ressort que sa qualité de vie continuerait à s’aggraver progressivement sans implantation d’une prothèse totale de la hanche droite. Contrairement à ce qu’a retenu le SMR, dans son avis du 12 décembre 2017, le fait que la proposition d’une prothèse de la hanche avait déjà été faite à l’assuré en juin 2016 ne suffisait pas à considérer qu’il n’y avait d’aggravation par rapport à sa première appréciation de la situation, car les douleurs ayant une même origine peuvent devenir de plus en plus invalidantes. C’est ce qu’a relevé Dr G_______ dans son rapport du 29 septembre 2016. Enfin, l’intimé a retenu une pleine capacité de travail dans une activité adaptée sans discuter, ni instruire davantage le fait que l’assuré avait dû terminer son stage de formation à 80%, en raison de ses douleurs. Au vu des avis médicaux précités contradictoires et du fait qu’une aggravation de l’état de santé du recourant depuis le projet de décision était possible, l’intimé ne pouvait confirmer celui-ci, mais aurait dû procéder à une instruction complémentaire.</w:t>
      </w:r>
    </w:p>
    <w:p>
      <w:r>
        <w:rPr>
          <w:b/>
        </w:rPr>
        <w:t>E. 12</w:t>
      </w:r>
    </w:p>
    <w:p>
      <w:r>
        <w:t>Au vu de ce qui précède, le recours sera admis, la décision du 13 décembre 2017 annulée et la cause renvoyée à l’intimé pour compléter le dossier avec un rapport détaillé sur le déroulement du stage pratique que le recourant a effectué aux N_______ et mettre en œuvre une expertise orthopédique auprès d’un spécialiste indépendant pour déterminer l’évolution de la capacité de travail de l’assuré depuis janvier 2014 et nouvelle décision.</w:t>
      </w:r>
    </w:p>
    <w:p>
      <w:r>
        <w:rPr>
          <w:b/>
        </w:rPr>
        <w:t>E. 13</w:t>
      </w:r>
    </w:p>
    <w:p>
      <w:r>
        <w:t>Le recourant obtenant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14</w:t>
      </w:r>
    </w:p>
    <w:p>
      <w:r>
        <w:t>Un émolument de CHF 500.- sera mis à la charge de l’intimé (art. 69 al. 1bis LAI).</w:t>
      </w:r>
    </w:p>
    <w:p>
      <w:r>
        <w:t>A/329/2018 - 19/19 -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