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ATAS/582/2022 vom 24. Juni 2022</w:t>
      </w:r>
    </w:p>
    <w:p>
      <w:r>
        <w:t>GE Cour de justice, 2022-06-24, FR</w:t>
      </w:r>
    </w:p>
    <w:p>
      <w:r>
        <w:rPr>
          <w:b/>
        </w:rPr>
        <w:t xml:space="preserve">Quelle: </w:t>
      </w:r>
      <w:r>
        <w:t>https://mcp.opencaselaw.ch/entscheid/ge_gerichte_ATAS_582_2022</w:t>
      </w:r>
    </w:p>
    <w:p>
      <w:r>
        <w:t>FR: GE_GERICHTE ATAS/582/2022 du 24 juin 2022</w:t>
      </w:r>
    </w:p>
    <w:p>
      <w:r>
        <w:t>IT: GE_GERICHTE ATAS/582/2022 del 24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La modification du 25 septembre 2015 de la LAA est entrée en vigueur le 1er janvier 2017.</w:t>
      </w:r>
    </w:p>
    <w:p>
      <w:r>
        <w:t>A/3191/2020 - 6/18 - Dans la mesure où l'accident est survenu après cette date, le droit de la recourante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1er janvier 2017.</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le bien-fondé de la décision sur opposition 8 septembre 2020, par laquelle l’intimée a mis un terme à ses prestations au 22 février 2019, faute de rapport de causalité entre l'événement survenu le 22 novembre 2018 et les troubles présentés par la recourante aux niveaux de l'épaule et de la cheville gauches au- delà du 22 février 2019.</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On précisera que l’art. 6 al. 2 LAA, dans sa version en vigueur jusqu’au</w:t>
      </w:r>
    </w:p>
    <w:p>
      <w:r>
        <w:rPr>
          <w:b/>
        </w:rPr>
        <w:t>E. 7.1</w:t>
      </w:r>
    </w:p>
    <w:p>
      <w:r>
        <w:t>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Dans un arrêt de principe du 24 septembre 2019 (ATF 146 V 51), le Tribunal</w:t>
      </w:r>
    </w:p>
    <w:p>
      <w:r>
        <w:rPr>
          <w:b/>
        </w:rPr>
        <w:t>E. 7.2</w:t>
      </w:r>
    </w:p>
    <w:p>
      <w:r>
        <w:t>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w:t>
      </w:r>
    </w:p>
    <w:p>
      <w:r>
        <w:t>A/3191/2020 - 7/18 -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l'assureur-accidents.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 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 accidents a apporté la preuve de la « libération » et qu’il n’est pas nécessaire d’apporter des clarifications supplémentaires (consid. 8.6). La responsabilité de l’assureur-accidents s’étend, en principe, à toutes les</w:t>
      </w:r>
    </w:p>
    <w:p>
      <w:r>
        <w:rPr>
          <w:b/>
        </w:rPr>
        <w:t>E. 7.3</w:t>
      </w:r>
    </w:p>
    <w:p>
      <w:r>
        <w:t>conséquences dommageables qui se trouvent dans un rapport de causalité naturelle (ATF 119 V 335 consid. 1 ; ATF 118 V 286 consid. 1b et les références) et adéquate avec l’événement assuré (ATF 125 V 456 consid. 5a et les références).</w:t>
      </w:r>
    </w:p>
    <w:p>
      <w:r>
        <w:rPr>
          <w:b/>
        </w:rPr>
        <w:t>E. 7.3.1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w:t>
      </w:r>
    </w:p>
    <w:p>
      <w:r>
        <w:t>A/3191/2020 - 8/18 -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7.3.2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w:t>
      </w:r>
    </w:p>
    <w:p>
      <w:r>
        <w:t>A/3191/2020 - 9/18 - des complications les plus singulières et les plus graves qui ne se produisent habituellement pas selon l'expérience médicale (ATF 118 V 286 consid. 3a et ATF 117 V 359 consid. 5d/bb ;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rPr>
          <w:b/>
        </w:rPr>
        <w:t>E. 8</w:t>
      </w:r>
    </w:p>
    <w:p>
      <w:r>
        <w:t>La plupart des éventualités assurées (par exemple la maladie, l'accident, l'incapacité de travail, l'invalidité, l'atteinte à l'intégrité physique ou mentale) suppose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 1;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A/3191/2020 - 10/18 -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w:t>
      </w:r>
    </w:p>
    <w:p>
      <w:r>
        <w:t>A/3191/2020 - 11/18 -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w:t>
      </w:r>
    </w:p>
    <w:p>
      <w:r>
        <w:t>A/3191/2020 - 12/18 -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11</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12</w:t>
      </w:r>
    </w:p>
    <w:p>
      <w:r>
        <w:t>En l'espèce, dans sa décision sur opposition du 8 septembre 2020, l’intimée a retenu que le rapport de causalité entre l'accident du 22 novembre 2018 et les troubles à l'épaule et à la cheville gauches ne pouvait être admis que jusqu'au 22 février 2019, et qu’au-delà de cette date, l'incapacité de travail et le traitement thérapeutique relevaient d'un cas de maladie. Cette détermination repose sur le rapport du 15 septembre 2019 du Dr J______, lequel a conclu que l’événement accidentel avait causé une contusion de l'épaule gauche, qui avait vraisemblablement cessé de produire des effets au plus tard après un délai de 3 mois, et semblait avoir aussi causé un traumatisme de la cheville gauche, qui avait très probablement cessé de déployer ses effets depuis longtemps, soit dans un délai maximal estimé à 3 mois post-traumatique. À titre préalable, la chambre de céans observe que si l’intimée a semblé</w:t>
      </w:r>
    </w:p>
    <w:p>
      <w:r>
        <w:rPr>
          <w:b/>
        </w:rPr>
        <w:t>E. 12.1</w:t>
      </w:r>
    </w:p>
    <w:p>
      <w:r>
        <w:t>contester, dans sa décision initiale du 30 septembre 2019, que l’accident de la voie publique du 22 novembre 2018 avait entrainé des troubles au niveau de la cheville gauche, elle a clairement reconnu, dans la décision litigieuse, que le sinistre avait passagèrement aggravé des états pathologiques préexistants, tant au niveau de l’épaule qu’au niveau de la cheville gauches, et fixé le retour au statu quo sine à trois mois post-traumatique, soit le 23 février 2019.</w:t>
      </w:r>
    </w:p>
    <w:p>
      <w:r>
        <w:t>A/3191/2020 - 13/18 - Il est admis que l’événement du 22 novembre 2018 répond à la définition légale de la notion d’accident dans le domaine des assurances sociales, de sorte qu’il incombe à l’intimée, conformément à la jurisprudence fédérale, de prendre en charge les suites des atteintes à la santé en cause sur la base de l'art. 6 al. 1 LAA, même si la recourante souffre de lésions corporelles au sens de l'art. 6 al. 2 LAA. L’intimée est ainsi tenue de verser des prestations à l’intéressée jusqu’à ce que l’accident ne constitue plus la cause naturelle et que les atteintes à la santé qui subsistent sont uniquement et exclusivement dues à des causes étrangères au sinistre. S’agissant de l’épaule gauche, le Dr J______ a exposé que l’arthro-IRM</w:t>
      </w:r>
    </w:p>
    <w:p>
      <w:r>
        <w:rPr>
          <w:b/>
        </w:rPr>
        <w:t>E. 12.2</w:t>
      </w:r>
    </w:p>
    <w:p>
      <w:r>
        <w:t>avait confirmé la tendinopathie non rompue de la coiffe supérieure, associant une amyotrophie avec une involution graisseuse de stade I du sus-épineux et sous- épineux, évoluant depuis plusieurs mois, voire années. Une tendinopathie de la coiffe des rotateurs n’avait rien d’exceptionnel à cet âge puisqu’elle débutait généralement avec le vieillissement (4ème décennie) et devenait très fréquente dans la population générale (large majorité après 50 ans). La forme en U de la lésion transfixiante du sus-épineux correspondait à une forme souvent observée dans les lésions chroniques, reflet d’une lésion initiale centrale s’élargissant ensuite latéralement en amont, par opposition aux lésions aigües ou subaigües plutôt caractérisées par un effilochage anarchique, voire une brèche aux bords relativement abruptes. L’opération s’était compliquée d’une capsulite, voire d’une arthro-fibrose, qui déployait encore des effets, ce qui n’était de loin pas rare après une opération de l’épaule. En outre, une tendinopathie était également présente du côté droit, non traumatisé, et revêtait un schéma similaire intéressant la partie distale du sus-épineux, dans une moindre mesure le sous-épineux. Cet élément signait une tendance de l’intéressée à user sa coiffe des rotateurs, usure qui était due soit à une prédisposition naturelle, soit à un surmenage. L'action vulnérante subie par l'épaule gauche le 22 novembre 2018 semblait avoir été d'envergure modérée, n'empêchant pas une reprise rapide d'un travail astreignant, à un taux élevé. Le bilan radiologique effectué 2 mois plus tard n'avait pas révélé de processus actif (réparateur ou inflammatoire) à l'épaule gauche. Dans ces conditions, la relation de causalité naturelle entre l'événement accidentel et la pathologie objectivée à l'épaule gauche paraissait hautement improbable. En conclusion, l'épaule gauche avait vraisemblablement subi une contusion le 22 novembre 2018, contusion qui cessait généralement de déployer ses effets après quelques jours, voire 4 à 6 semaines. Une extension de 4 à 6 semaines supplémentaires était théoriquement admise en cas de troubles dégénératifs sous- jacents, partant de l'hypothèse que la fragilité tissulaire y relative pouvait ralentir la récupération fonctionnelle. Au-delà d'un délai maximal de 3 mois, le cursus de l'épaule gauche était régi par l’état pathologique préexistant, état qui avait conduit à l'intervention chirurgicale du 10 avril 2019 (cf. rapport du 15 septembre 2019).</w:t>
      </w:r>
    </w:p>
    <w:p>
      <w:r>
        <w:t>A/3191/2020 - 14/18 - Par la suite, le Dr J______ a pour l’essentiel répondu aux critiques formelles du Dr G______ quant à ses qualifications professionnelles et à sa position de médecin-conseil, sans apporter d’éléments médicaux supplémentaires (cf. rapport du 5 août 2020), et sa dernière détermination concerne exclusivement la cheville gauche (cf. rapport du 24 juin 2021).</w:t>
      </w:r>
    </w:p>
    <w:p>
      <w:r>
        <w:rPr>
          <w:b/>
        </w:rPr>
        <w:t>E. 12.2.1</w:t>
      </w:r>
    </w:p>
    <w:p>
      <w:r>
        <w:t>La chambre de céans considère que l’appréciation du médecin-conseil n’est pas convaincante pour plusieurs raisons. Tout d’abord, le Dr J______ s’est référé de façon générale à une tendinopathie non rompue de la coiffe supérieure et à une lésion transfixiante du sus-épineux, sans se prononcer précisément sur tous les troubles mis en exergue par les examens radiologiques. Or, l’échographie du 24 janvier 2019 a révélé des fissurations interstitielles et profondes du tendon supra-épineux, sans rupture complète ou impaction tendineuse visible, qui ont été confirmées à l’arthro-IRM du 7 février 2019. Cet examen a en outre permis de constater une enthésopathie insertionnelle avec des petites fissures interstitielles du tendon sub-scapulaire, sans rupture complète ou rétraction tendineuse visible, une arthropathie acromio- claviculaire inflammatoire, et une lame d'épanchement de la bourse sous-acromio- deltoïdienne (cf. rapports d’examen de la Dresse F______). Il appartenait au médecin-conseil d’expliquer, pour chacune de ces lésions, les raisons pour lesquelles il considérait qu’elle n’avait pas été provoquée ou aggravée, même partiellement, par l’accident en cause. Une analyse minutieuse du lien de causalité entre le sinistre et les atteintes constatées les 24 janvier et 7 février 2019 s’imposait d’autant plus que le statu quo sine a été fixé à une date postérieure, soit le 22 février 2019, et que ces troubles ont justifié l’intervention chirurgicale du 10 avril 2019. De plus, la présence d’une amyotrophie avec une involution graisseuse, de même que l’âge de la recourante ou encore l’existence d’atteintes au niveau de l’épaule droite, ne permettent pas d’exclure que certaines des lésions constatées du côté gauche puissent trouver leur origine dans l’événement traumatique subi. À cet égard, il sera notamment relevé qu’aucune fissuration ou fissure n’a été rapportée à droite. Quant à l’argumentation fondée sur la forme de la lésion, elle ne saurait suffire au vu de l’avis divergent du Dr G______. Il est rappelé que ce dernier a préconisé une réinsertion de la lésion « traumatique » de la coiffe des rotateurs suite à l’échec du traitement conservateur (cf. rapport de consultation du 26 mars 2019), et qu’il a vivement contesté les conclusions du Dr J______, auquel il a reproché de confondre des changements radiologiques, liés à des phénomènes strictement normaux, avec des pathologies. Certes, le chirurgien s’est contenté de critiquer le rapport du médecin-conseil sans évaluer non plus les critères démographiques, cliniques, factoriels, radiologiques et peropératoires qu’il a cités comme étant déterminants, mais il s’est proposé d’étayer ses propos devant « un tribunal » (cf. rapport du 12 novembre 2019). Compte tenu de son devoir</w:t>
      </w:r>
    </w:p>
    <w:p>
      <w:r>
        <w:t>A/3191/2020 - 15/18 - d’instruction, l’intimée aurait dû lui demander un rapport circonstancié et motivé avant de statuer sur les droits de la recourante. Il sera encore observé que l’évaluation du mécanisme accidentel par le médecin- conseil, qui a noté que l’action vulnérante subie le 22 novembre 2018 « semblait avoir été d’envergure modérée », ne repose sur aucun élément concret. Quant à la reprise de l’activité professionnelle, les certificats médicaux attestent d’une capacité de travail à hauteur de 50% dès le 27 novembre 2018 et de 80% dès le 3 décembre 2018. Cependant, le Dr J______ n’a tenu compte ni du fait que l’intéressée avait été en vacances pour une longue période peu après cette reprise (du 15 décembre 2018 au 15 janvier 2019, selon son rapport), ni du fait qu’elle avait relaté la persistance des douleurs de l’épaule gauche avec une diminution de la force suite à l’accident (cf. rapport du 24 janvier 2019 de la Dresse F______), et ce malgré un traitement anti-inflammatoire et antalgique (cf. prescriptions des 28 novembre 2018, 23 et 28 janvier 2019 du Dr E______). C’est encore le lieu de relever que le dossier de la cause ne comporte aucun rapport du Dr E______, pourtant consulté plusieurs fois par la recourante puisqu’il a établi les certificats d’arrêt de travail et les prescriptions médicales. Concernant la cheville gauche, le médecin-conseil a expliqué que le</w:t>
      </w:r>
    </w:p>
    <w:p>
      <w:r>
        <w:rPr>
          <w:b/>
        </w:rPr>
        <w:t>E. 12.3</w:t>
      </w:r>
    </w:p>
    <w:p>
      <w:r>
        <w:t>traumatisme ne semblait pas laisser un handicap, même modéré. Le bilan actuel révélait la présence de troubles dégénératifs, soit une chondropathie talo-crurale, ainsi que des séquelles d’une déchirure partielle de l’appareil ligamentaire externe, laquelle ne provoquait pas de laxité pathologique significative. Dans ces conditions, et au vu du tableau subjectif, l'évolution « post-traumatique » semblait favorable. La lésion ligamentaire, partielle et pouvant être de toute origine (traumatisme du 22 novembre 2018 ou traumatisme(s) plus ancien(s), arthrose), ne déployait pas d'effet délétère. Si elle avait bel et bien fait suite à l’événement assuré, sa responsabilité ne semblait pas d'actualité. En effet, toute douleur résiduelle pouvait parfaitement rentrer dans le cadre de l'arthrose. La seule lésion ligamentaire, encore une fois partielle, sans évidence d'instabilité/laxité pathologique, ne justifiait pas une incapacité de travail durable, ceci depuis longtemps. L’intéressée avait repris son emploi à plein temps quelques jours après le traumatisme et la réduction de la capacité de travail était due à la problématique de l’épaule, mais pas à une quelconque gêne de la cheville. En réalité, une possible lésion ligamentaire émanant de l'événement assuré, ne nécessitant pas de mesure thérapeutique particulière, et ne provoquant pas d'instabilité, avait très probablement cessé de déployer ses effets depuis longtemps, dans un délai maximal estimé à 3 mois post-traumatique (cf. rapport du 15 septembre 2019). Par la suite, le Dr J______ a rappelé que la seule articulation radiographiée aux urgences était le coude gauche, que l’intéressée s’était ensuite plainte de son épaule gauche. Lors de son examen du mois de juillet 2019, elle avait en outre indiqué qu’elle avait été blessée aux deux genoux, à la cuisse gauche et à la</w:t>
      </w:r>
    </w:p>
    <w:p>
      <w:r>
        <w:t>A/3191/2020 - 16/18 - cheville gauche. Elle avait alors produit des photographies de son genou gauche et de son coude gauche, mais pas de la cheville gauche. Son bilan clinique n’avait pas montré de boiterie, les amplitudes articulaires étaient symétriques, il n’y avait ni instabilité, ni laxité pathologique de la cheville et la musculature du mollet ne montrait pas d’amyotrophie, élément caractérisant un usage normal ou presque du membre en question. L’IRM du 5 août 2019 avait révélé des troubles dégénératifs, soit une large chondropathie de grade I du pilon tibial et une chondropathie de grade III de l’articulation sous-astragalienne, sans souffrance sous-chondrale, ainsi que des lésions ligamentaires partielles. Ces lésions ligamentaires pouvaient être de toute origine, notamment du traumatisme survenu le 22 novembre 2018, mais également d’un ou plusieurs traumatismes plus anciens compte tenu des arthropathies dégénératives associées. Ce scénario se renforçait face à l’absence, dans les suites immédiates du traumatisme, de signes cliniques compatibles avec une lésion ligamentaire récente ou significative, nécessitant comme dans l’écrasante majorité des cas une aide médicale ou fonctionnelle. En d’autres termes, en pondérant l’ensemble des élément recueillis, le lien de causalité naturelle entre l’événement du 22 novembre 2018 et les lésions ligamentaires paraissait possible, mais pas probable (cf. rapport du 24 juin 2021).</w:t>
      </w:r>
    </w:p>
    <w:p>
      <w:r>
        <w:rPr>
          <w:b/>
        </w:rPr>
        <w:t>E. 12.3.1</w:t>
      </w:r>
    </w:p>
    <w:p>
      <w:r>
        <w:t>La chambre de céans constate d’emblée que l’appréciation du médecin- conseil repose sur une succession d’hypothèses, étant notamment rappelé qu’il a indiqué que l’événement du 22 novembre 2018 « semblait avoir aussi causé » un traumatisme de la cheville gauche, traumatisme qui ne « semblait » pas laisser de handicap, que l’évolution « semblait » favorable. Il a considéré que la lésion « pouvait » être de « toute origine » et que « si elle avait bel et bien fait suite » à l’accident en question, « sa responsabilité ne semblait plus d’actualité », car la douleur « pouvait parfaitement rentrer dans le cadre de l’arthrose ». Il a conclu qu’une « possible lésion ligamentaire » provenant de l’accident assuré avait « très probablement cessé de déployer ses effets depuis longtemps ». En outre, le « scénario » retenu par le Dr J______ s’agissant de l’origine des lésions ligamentaires ne repose pas sur une anamnèse approfondie et complète. En effet, comme déjà relevé, le dossier produit ne comporte aucun rapport du Dr E______, lequel a signé des arrêts de travail dans les suites immédiates de l’accident et prescrit des antalgiques et des anti-inflammatoires à sa patiente. Rien ne permet d’affirmer que l’intéressée n’a pas présenté de signes cliniques d’une lésion ligamentaire suite à l’événement accidentel, ni d’exclure que le traitement médicamenteux a été prescrit, entre autres, pour soulager d’éventuelles lésions au niveau de la cheville gauche. De plus, le rapport d’IRM de la cheville gauche fait état de la persistance de douleurs après une « entorse du pied survenue au mois de novembre » (cf. rapport du 6 août 2019 de la Dresse I______) et la Dresse K______ a rapporté une douleur au niveau de la cheville gauche avec une séquelle d'entorse du ligament latéral externe, et noté que la cheville était « toujours œdématiée » (cf. rapport du 27 août 2019), sans autres précisions quant</w:t>
      </w:r>
    </w:p>
    <w:p>
      <w:r>
        <w:t>A/3191/2020 - 17/18 - à la date d’apparition des douleurs et symptômes. En l’absence de rapports précis établis par les différents médecins consultés par l’intéressée, le Dr J______ ne pouvait pas se déterminer en pleine connaissance de cause. On relèvera encore que la Dresse K______ a suggéré de demander un écho doppler afin d'éliminer un problème veineux et une IRM afin de préciser les lésions (cf. rapport du 27 août 2019). Ce document a été communiqué au médecin-conseil avant qu’il n’établisse son rapport le 15 septembre 2019. Il est donc surprenant que le Dr J______ n’ait pas jugé utile d’attendre le résultat de ces investigations complémentaires. Enfin, la chambre de céans remarquera que le délai de trois mois retenu pour fixer le statu quo n’a fait l’objet d’aucune discussion de la part du médecin-conseil. Eu égard à tout ce qui précède, la chambre de céans considère que les avis du</w:t>
      </w:r>
    </w:p>
    <w:p>
      <w:r>
        <w:rPr>
          <w:b/>
        </w:rPr>
        <w:t>E. 12.4</w:t>
      </w:r>
    </w:p>
    <w:p>
      <w:r>
        <w:t>Dr J______ ne remplissent pas les exigences jurisprudentielles pour se voir reconnaître une quelconque valeur probante. L’intimée ne pouvait donc pas, sur la base des rapports de son médecin-conseil, conclure que l'accident ne représente plus la cause naturelle et suffisante des troubles présentés au niveau de l’épaule gauche et de la cheville gauche dès le 23 février 2019, c'est-à-dire que ces atteintes reposent uniquement sur des causes étrangères à l’accident à partir de cette date, ou en d’autres termes que le statu quo ante vel sine a été atteint. Dès lors qu’il lui incombait d’instruire d’office les éléments médicaux</w:t>
      </w:r>
    </w:p>
    <w:p>
      <w:r>
        <w:rPr>
          <w:b/>
        </w:rPr>
        <w:t>E. 12.5</w:t>
      </w:r>
    </w:p>
    <w:p>
      <w:r>
        <w:t>déterminants pour la résolution du cas, l’intimée ne pouvait se contenter de l’avis insuffisamment motivé de son médecin-conseil pour nier le droit de la recourante à des prestations au-delà du 22 février 2019. Dans ces circonstances, il se justifie de lui renvoyer la cause afin qu’elle procède à des investigations complémentaires en vue d’établir d’office l’ensemble des faits déterminants et, le cas échéant, qu’elle administre les preuves nécessaires, au besoin par une expertise, avant de rendre une nouvelle décision.</w:t>
      </w:r>
    </w:p>
    <w:p>
      <w:r>
        <w:rPr>
          <w:b/>
        </w:rPr>
        <w:t>E. 13</w:t>
      </w:r>
    </w:p>
    <w:p>
      <w:r>
        <w:t>Au vu de ce qui précède, le recours sera partiellement admis, la décision du 8 septembre 2020 annulée et la cause renvoyée à l’intimée pour instruction complémentaire au sens des considérants et nouvelle décision. Étant donné que la recourante obtient partiellement gain de cause, une indemnité de CHF 2’000.- lui sera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a LPGA et 89H al. 1 LPA).</w:t>
      </w:r>
    </w:p>
    <w:p>
      <w:r>
        <w:t>A/3191/2020 - 18/18 -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