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ATAS/582/2021 vom 7. Juni 2021</w:t>
      </w:r>
    </w:p>
    <w:p>
      <w:r>
        <w:t>GE Cour de justice, 2021-06-07, FR</w:t>
      </w:r>
    </w:p>
    <w:p>
      <w:r>
        <w:rPr>
          <w:b/>
        </w:rPr>
        <w:t xml:space="preserve">Quelle: </w:t>
      </w:r>
      <w:r>
        <w:t>https://mcp.opencaselaw.ch/entscheid/ge_gerichte_ATAS_582_2021</w:t>
      </w:r>
    </w:p>
    <w:p>
      <w:r>
        <w:t>FR: GE_GERICHTE ATAS/582/2021 du 7 juin 2021</w:t>
      </w:r>
    </w:p>
    <w:p>
      <w:r>
        <w:t>IT: GE_GERICHTE ATAS/582/2021 del 7 giugno 2021</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en temps utile, le recours est recevable (art. 60 LPGA).</w:t>
      </w:r>
    </w:p>
    <w:p>
      <w:r>
        <w:rPr>
          <w:b/>
        </w:rPr>
        <w:t>E. 3</w:t>
      </w:r>
    </w:p>
    <w:p>
      <w:r>
        <w:t>Le litige porte sur le bien-fondé de la décision d’irrecevabilité de l’opposition du recourant.</w:t>
      </w:r>
    </w:p>
    <w:p>
      <w:r>
        <w:rPr>
          <w:b/>
        </w:rPr>
        <w:t>E. 4</w:t>
      </w:r>
    </w:p>
    <w:p>
      <w:r>
        <w:t>a. Selon l’art. 52 al. 1 LPGA, les décisions peuvent être attaquées dans les trente jours par voie d’opposition auprès de l’assureur qui les a rendues, à l’exception des décisions d’ordonnancement de la procédure. Selon l’art. 10 al. 1 et 5 de l’ordonnance sur la partie générale du droit des assurances sociales du 11 septembre 2002 (OPGA - RS 830.11), l’opposition doit contenir des conclusions et être motivée (al. 1). Si l’opposition ne satisfait pas aux exigences de l’al. 1 ou si elle n’est pas signée, l’assureur impartit un délai convenable pour réparer le vice, avec l’avertissement qu’à défaut, l’opposition ne sera pas recevable (al. 5). b. L’opposition se veut peu formaliste et doit être simple d’accès pour les assurés (DUPONT MOSER – SZELESS, commentaire de la LPGA, 2018, p. 614). Il est important que l’assuré, dans ses conclusions, désigne avec précision l’aspect de la décision qu’il entend contester. Lorsque l’opposition concerne une rente, celle-ci est considérée comme un tout de sorte que la contestation d’un aspect de celle-ci, comme le taux d’invalidité, peut amener l’assureur à en revoir d’autres aspects, comme le jour où elle prend effet ou le salaire déterminant (DUPONT MOSER- SZELESS op. cit. p. 618 – 619). c. Le Tribunal fédéral a précisé que la procédure d'opposition porte sur les rapports juridiques qui, d'une part, font l'objet de la décision initiale de l'autorité et à propos desquels, d'autre part, l'opposant manifeste son désaccord, implicitement ou explicitement (arrêt du Tribunal fédéral 8C_355/2017 du 14 mars 2018). Selon la jurisprudence, l'obligation d'articuler les griefs vaut en principe également dans la procédure d'opposition. Aussi, dans la mesure où la légalité d'une décision attaquée n'est pas examinée d'office, celle-ci entre-t-elle partiellement en force sur les points qui n'ont pas été contestés dans la procédure d'opposition (arrêt du Tribunal fédéral 8C_59/2007 du 25 janvier 2008, ATF 119 V 347 consid. 1c).</w:t>
      </w:r>
    </w:p>
    <w:p>
      <w:r>
        <w:t>A/249/2021 - 5/8 - Si l'on peut déduire de l'opposition formée par l'assuré, la volonté de contester également d'autres points, la décision n'entre cependant pas non plus en force quant à ces points (arrêts du Tribunal fédéral des assurances U 27/04 du 15 mars 2005 consid. 3.2 et U 152/01 du 8 octobre 2003 consid. 3). Dans le cas d'une décision portant sur deux objets, il suffit qu'il soit possible de déduire des conclusions de l'opposant interprétées au regard des griefs formulés une volonté de contester l'un et l'autre des objets (arrêt du Tribunal fédéral des assurances U 27/04 du 15 mars 2005 consid. 3 ; arrêt du Tribunal fédéral 8C_817/2017 du 31 août 2018 consid. 3.2). En particulier, dans le cadre d'une décision portant aussi bien sur le droit à une rente de l'assurance-accidents que sur le droit à une indemnité pour atteinte à l'intégrité, ce serait faire preuve de formalisme excessif que d'exiger de l'opposant que ses conclusions se réfèrent expressément au droit à l'indemnité pour atteinte à l'intégrité, sous peine de quoi la décision entrerait partiellement en force sur ce point. Il suffit qu'il soit possible de déduire des conclusions de l'opposant interprétées au regard des griefs formulés une volonté de contester également l'indemnité pour atteinte à l'intégrité en plus du droit à la rente (arrêt D. du</w:t>
      </w:r>
    </w:p>
    <w:p>
      <w:r>
        <w:rPr>
          <w:b/>
        </w:rPr>
        <w:t>E. 8</w:t>
      </w:r>
    </w:p>
    <w:p>
      <w:r>
        <w:t>octobre 2003, U 152/01), ce qui n’a pas été admis dans le cas d’un recourant n’ayant pas remis expressément en cause l'indemnité pour atteinte à l'intégrité, sans que l’on ne puisse non plus déduire de sa contestation une volonté implicite de contester le taux de l'indemnité en question. Par ailleurs, le simple fait que le recourant avait intitulé son écriture « opposition totale » ne pouvait suffire pour admettre une volonté de remettre en cause également le taux de cette indemnité. A elle seule, cette formulation ne permettait en effet pas de reconnaître quels éléments de la décision attaquée étaient contestés, et devait forcément être interprétée au regard des motifs invoqués par l'opposant. Or, à défaut de tout autre indice d'une volonté de s'opposer à l'évaluation de l'atteinte à l'intégrité, il n'était pas possible d'en déduire une argumentation dirigée contre le dispositif de la décision du 19 novembre 2002 fixant à 10 % le taux de cette atteinte (arrêt du Tribunal fédéral U 27/04 du 15 mars 2005). d. Dans un arrêt récent, la chambre de céans a retenu que dans le cadre d’un litige sur les prestations complémentaires, seul un objet avait été traité par l’intimé dans la décision querellée, à savoir le montant des prestations complémentaires dues à l’intéressée. Aussi, a-t-elle estimé que les griefs portant sur le calcul auquel avait procédé le SPC pour déterminer ce montant pouvaient être examinés dans le cadre de la procédure de recours, même s’ils n’avaient pas été expressément mentionnés dans l’opposition ; le fait que l’intéressée demandait le réexamen de son dossier suffisait à admettre qu’elle avait eu la volonté de contester tous les éléments composant le calcul de ses prestations complémentaires. La chambre de céans a ainsi considéré qu’il serait faire preuve de formalisme excessif que d’exiger de l’intéressée que ses conclusions se réfèrent expressément à chacun des éléments pris en compte par le SPC pour déterminer le montant des prestations</w:t>
      </w:r>
    </w:p>
    <w:p>
      <w:r>
        <w:t>A/249/2021 - 6/8 - complémentaires auxquelles elle pouvait prétendre (ATAS/429/2019 du 13 mai 2019 consid. 7). 5. En l’occurrence, l’opposition du recourant du 17 janvier 2019 indique qu’elle est dirigée contre la décision de taxation 2015 du 4 janvier 2019 et conteste uniquement la base de calcul, singulièrement la fortune nette et le montant des rentes du recourant ; elle conclut à la correction de la taxation afin que le recourant puisse verser les cotisations effectivement dues. Dans cette mesure et conformément à la jurisprudence précitée, on ne saurait déduire de ces conclusions et griefs une volonté du recourant de contester la décision d’affiliation du 4 janvier 2019 ; la mention que la facture de cotisations est contestée dans sa totalité n’est, à cet égard, pas suffisante pour comprendre que le recourant entendait également contester le principe de son affiliation, ce d’autant que la contestation « dans sa totalité » se rapporte à la « facture » et non pas à l’une ou l’autre des décisions du 4 janvier 2019. En application de la jurisprudence de la chambre de céans précitée (ATAS/429/2019), on doit admettre que, dans son opposition, le recourant a contesté le calcul de sa taxation dans son ensemble et qu’il aurait donc également pu, au stade du recours, soulever d’autres griefs relatifs au calcul des prestations, même si ceux-ci n’avaient pas été invoqués lors de l’opposition. En revanche, la décision d’affiliation, de surcroit objet d’une décision distincte, devait à tout le moins faire l’objet d’une critique pour que l’on puisse admettre qu’elle était comprise dans l’opposition du 17 janvier 2019. De plus, le recourant était représenté, pour former opposition, par un expert- comptable et fiscal diplômé, de sorte que l’on peut d’autant plus se limiter aux termes précisément utilisés par celui-ci, sans rechercher plus avant une éventuelle volonté du recourant de contester la décision d’affiliation, qui ne ressortirait pas clairement de la formulation de l’opposition. Par ailleurs, il n’y a pas lieu d’admettre que l’intimée aurait dû, à réception de l’opposition du 17 janvier 2019, impartir un délai au recourant pour satisfaire aux exigences de motivation et conclusion de l’opposition, au sens de l’art. 10 al. 5 OPGA. En effet, l’opposition comprenait une motivation et des conclusions suffisamment claires pour que l’intimé la traite sans requérir du recourant un complément afin de réparer un éventuel vice. Enfin, le fait que le dossier du recourant comprenne une mention dans le questionnaire d’affiliation du 14 novembre 2016, selon laquelle son activité salariée pour la société n’avait jamais cessé n’est pas déterminante ; l’objet de la contestation, lors de l’opposition, doit pouvoir être déduit de l’opposition elle- même et non pas des pièces figurant au dossier de l’assuré. 6. En conséquence, c’est à juste titre que l’intimée a considéré que l’opposition du 17 janvier 2019 ne portait pas sur la décision d’affiliation du 4 janvier 2019 et que l’opposition du 21 janvier 2020 était irrecevable pour tardiveté, étant constaté que même si l’on devait admettre que le recourant a fait opposition à la décision</w:t>
      </w:r>
    </w:p>
    <w:p>
      <w:r>
        <w:t>A/249/2021 - 7/8 - précitée antérieurement, soit le 18 décembre 2019, celle-ci serait également tardive et donc irrecevable. 7. Partant, le recours ne peut qu’être rejeté. Pour le surplus, la procédure est gratuite.</w:t>
      </w:r>
    </w:p>
    <w:p>
      <w:r>
        <w:t>A/249/2021 - 8/8 -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